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61" w:rsidRDefault="00AE12E3">
      <w:pPr>
        <w:shd w:val="clear" w:color="auto" w:fill="FFFFFF"/>
        <w:spacing w:line="360" w:lineRule="atLeast"/>
        <w:jc w:val="center"/>
        <w:rPr>
          <w:color w:val="auto"/>
          <w:szCs w:val="28"/>
        </w:rPr>
      </w:pPr>
      <w:r>
        <w:rPr>
          <w:noProof/>
          <w:szCs w:val="28"/>
          <w:lang w:eastAsia="uk-UA"/>
        </w:rPr>
        <mc:AlternateContent>
          <mc:Choice Requires="wpg">
            <w:drawing>
              <wp:inline distT="0" distB="0" distL="0" distR="0">
                <wp:extent cx="431165" cy="577850"/>
                <wp:effectExtent l="0" t="0" r="6985" b="0"/>
                <wp:docPr id="1" name="Рисунок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7" descr="gerb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1165" cy="577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5.5pt;">
                <v:path textboxrect="0,0,0,0"/>
                <v:imagedata r:id="rId11" o:title=""/>
              </v:shape>
            </w:pict>
          </mc:Fallback>
        </mc:AlternateContent>
      </w:r>
    </w:p>
    <w:p w:rsidR="00037E61" w:rsidRDefault="00AE12E3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037E61" w:rsidRDefault="00AE12E3">
      <w:pPr>
        <w:spacing w:before="180" w:after="36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ПРИЛУЦЬКА РАЙОННА ДЕРЖАВНА АДМІНІСТРАЦІЯ ЧЕРНІГІВСЬКОЇ ОБЛАСТІ</w:t>
      </w:r>
    </w:p>
    <w:p w:rsidR="00037E61" w:rsidRDefault="00AE12E3">
      <w:pPr>
        <w:jc w:val="center"/>
        <w:rPr>
          <w:b/>
          <w:bCs/>
          <w:caps/>
          <w:spacing w:val="100"/>
          <w:szCs w:val="28"/>
        </w:rPr>
      </w:pPr>
      <w:r>
        <w:rPr>
          <w:b/>
          <w:bCs/>
          <w:caps/>
          <w:spacing w:val="100"/>
          <w:szCs w:val="28"/>
        </w:rPr>
        <w:t>РОЗПОРЯДЖЕННЯ</w:t>
      </w:r>
    </w:p>
    <w:p w:rsidR="00037E61" w:rsidRDefault="00037E61">
      <w:pPr>
        <w:jc w:val="center"/>
        <w:rPr>
          <w:b/>
          <w:bCs/>
          <w:caps/>
          <w:spacing w:val="100"/>
          <w:szCs w:val="28"/>
        </w:rPr>
      </w:pPr>
    </w:p>
    <w:p w:rsidR="00037E61" w:rsidRDefault="00AE12E3">
      <w:pPr>
        <w:framePr w:w="9746" w:hSpace="170" w:wrap="auto" w:vAnchor="text" w:hAnchor="page" w:x="1510" w:y="91"/>
        <w:spacing w:before="120"/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037E61">
        <w:trPr>
          <w:trHeight w:hRule="exact" w:val="340"/>
        </w:trPr>
        <w:tc>
          <w:tcPr>
            <w:tcW w:w="426" w:type="dxa"/>
            <w:vAlign w:val="bottom"/>
          </w:tcPr>
          <w:p w:rsidR="00037E61" w:rsidRDefault="00AE12E3">
            <w:pPr>
              <w:rPr>
                <w:szCs w:val="28"/>
              </w:rPr>
            </w:pPr>
            <w:r>
              <w:rPr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37E61" w:rsidRDefault="00E23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55B43">
              <w:rPr>
                <w:szCs w:val="28"/>
              </w:rPr>
              <w:t>25 листопада</w:t>
            </w:r>
          </w:p>
        </w:tc>
        <w:tc>
          <w:tcPr>
            <w:tcW w:w="1417" w:type="dxa"/>
            <w:vAlign w:val="bottom"/>
          </w:tcPr>
          <w:p w:rsidR="00037E61" w:rsidRDefault="00AE1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р.</w:t>
            </w:r>
          </w:p>
        </w:tc>
        <w:tc>
          <w:tcPr>
            <w:tcW w:w="4366" w:type="dxa"/>
            <w:vAlign w:val="bottom"/>
          </w:tcPr>
          <w:p w:rsidR="00037E61" w:rsidRDefault="00AE12E3">
            <w:pPr>
              <w:keepNext/>
              <w:spacing w:before="60" w:line="240" w:lineRule="exact"/>
              <w:ind w:right="-29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Прилуки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37E61" w:rsidRDefault="00255B43" w:rsidP="00E230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290</w:t>
            </w:r>
          </w:p>
        </w:tc>
      </w:tr>
    </w:tbl>
    <w:p w:rsidR="00037E61" w:rsidRDefault="00037E61">
      <w:pPr>
        <w:rPr>
          <w:b/>
          <w:i/>
          <w:sz w:val="26"/>
          <w:szCs w:val="26"/>
        </w:rPr>
      </w:pPr>
    </w:p>
    <w:p w:rsidR="001C2CC8" w:rsidRPr="00CA7D3C" w:rsidRDefault="001C2CC8">
      <w:pPr>
        <w:rPr>
          <w:b/>
          <w:i/>
          <w:sz w:val="26"/>
          <w:szCs w:val="26"/>
        </w:rPr>
      </w:pPr>
    </w:p>
    <w:p w:rsidR="00075E8F" w:rsidRDefault="00075E8F" w:rsidP="00075E8F">
      <w:pPr>
        <w:tabs>
          <w:tab w:val="left" w:pos="3540"/>
        </w:tabs>
        <w:jc w:val="both"/>
        <w:rPr>
          <w:b/>
          <w:i/>
          <w:color w:val="auto"/>
          <w:szCs w:val="28"/>
          <w:lang w:val="ru-RU"/>
        </w:rPr>
      </w:pPr>
      <w:r w:rsidRPr="00075E8F">
        <w:rPr>
          <w:b/>
          <w:i/>
          <w:color w:val="auto"/>
          <w:szCs w:val="28"/>
          <w:lang w:val="ru-RU"/>
        </w:rPr>
        <w:t>Про проведення у січні-березні 2022 року</w:t>
      </w:r>
    </w:p>
    <w:p w:rsidR="00075E8F" w:rsidRPr="00075E8F" w:rsidRDefault="00075E8F" w:rsidP="00075E8F">
      <w:pPr>
        <w:tabs>
          <w:tab w:val="left" w:pos="3540"/>
        </w:tabs>
        <w:jc w:val="both"/>
        <w:rPr>
          <w:b/>
          <w:i/>
          <w:color w:val="auto"/>
          <w:szCs w:val="28"/>
          <w:lang w:val="ru-RU"/>
        </w:rPr>
      </w:pPr>
      <w:r w:rsidRPr="00075E8F">
        <w:rPr>
          <w:b/>
          <w:i/>
          <w:color w:val="auto"/>
          <w:szCs w:val="28"/>
          <w:lang w:val="ru-RU"/>
        </w:rPr>
        <w:t xml:space="preserve">приписки громадян України 2005 року </w:t>
      </w:r>
    </w:p>
    <w:p w:rsidR="00037E61" w:rsidRPr="00DA7335" w:rsidRDefault="00522D82" w:rsidP="00075E8F">
      <w:pPr>
        <w:tabs>
          <w:tab w:val="left" w:pos="3540"/>
        </w:tabs>
        <w:jc w:val="both"/>
        <w:rPr>
          <w:b/>
          <w:i/>
          <w:color w:val="auto"/>
          <w:szCs w:val="28"/>
          <w:lang w:val="ru-RU"/>
        </w:rPr>
      </w:pPr>
      <w:r>
        <w:rPr>
          <w:b/>
          <w:i/>
          <w:color w:val="auto"/>
          <w:szCs w:val="28"/>
          <w:lang w:val="ru-RU"/>
        </w:rPr>
        <w:t>народження до призовних дільниць</w:t>
      </w:r>
    </w:p>
    <w:p w:rsidR="001C2CC8" w:rsidRDefault="001C2CC8">
      <w:pPr>
        <w:tabs>
          <w:tab w:val="left" w:pos="3540"/>
        </w:tabs>
        <w:jc w:val="both"/>
        <w:rPr>
          <w:color w:val="auto"/>
          <w:szCs w:val="28"/>
        </w:rPr>
      </w:pPr>
    </w:p>
    <w:p w:rsidR="00DF664E" w:rsidRPr="00CA7D3C" w:rsidRDefault="00DF664E">
      <w:pPr>
        <w:tabs>
          <w:tab w:val="left" w:pos="3540"/>
        </w:tabs>
        <w:jc w:val="both"/>
        <w:rPr>
          <w:color w:val="auto"/>
          <w:szCs w:val="28"/>
        </w:rPr>
      </w:pPr>
    </w:p>
    <w:p w:rsidR="000E4C85" w:rsidRPr="000E4C85" w:rsidRDefault="00075E8F" w:rsidP="000E4C85">
      <w:pPr>
        <w:ind w:firstLine="567"/>
        <w:jc w:val="both"/>
        <w:rPr>
          <w:szCs w:val="28"/>
        </w:rPr>
      </w:pPr>
      <w:r w:rsidRPr="00075E8F">
        <w:rPr>
          <w:szCs w:val="28"/>
        </w:rPr>
        <w:t>Відповід</w:t>
      </w:r>
      <w:r>
        <w:rPr>
          <w:szCs w:val="28"/>
        </w:rPr>
        <w:t xml:space="preserve">но до </w:t>
      </w:r>
      <w:r w:rsidR="008C5927" w:rsidRPr="008C5927">
        <w:rPr>
          <w:szCs w:val="28"/>
        </w:rPr>
        <w:t>статей 6, 27 Закону України «Про місцеві державні адміністрації»</w:t>
      </w:r>
      <w:r w:rsidR="008C5927">
        <w:rPr>
          <w:szCs w:val="28"/>
        </w:rPr>
        <w:t xml:space="preserve">, </w:t>
      </w:r>
      <w:r>
        <w:rPr>
          <w:szCs w:val="28"/>
        </w:rPr>
        <w:t>статті 14 Закону України «</w:t>
      </w:r>
      <w:r w:rsidRPr="00075E8F">
        <w:rPr>
          <w:szCs w:val="28"/>
        </w:rPr>
        <w:t>Про військови</w:t>
      </w:r>
      <w:r w:rsidR="008C5927">
        <w:rPr>
          <w:szCs w:val="28"/>
        </w:rPr>
        <w:t>й обов’язок і військову службу»</w:t>
      </w:r>
      <w:r w:rsidRPr="00075E8F">
        <w:rPr>
          <w:szCs w:val="28"/>
        </w:rPr>
        <w:t>,  постанови Кабінету Міністрів України  від 21 березня 2002 року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</w:t>
      </w:r>
      <w:r w:rsidR="00522D82">
        <w:rPr>
          <w:szCs w:val="28"/>
        </w:rPr>
        <w:t xml:space="preserve">зі змінами) </w:t>
      </w:r>
      <w:r w:rsidRPr="00075E8F">
        <w:rPr>
          <w:szCs w:val="28"/>
        </w:rPr>
        <w:t xml:space="preserve">та з метою якісного проведення приписки юнаків 2005 року народження до призовних дільниць Прилуцького районного територіального центру комплектування та соціальної підтримки  та підпорядкованих його відділів </w:t>
      </w:r>
    </w:p>
    <w:p w:rsidR="00371574" w:rsidRDefault="00595EEF" w:rsidP="00371574">
      <w:pPr>
        <w:jc w:val="both"/>
        <w:rPr>
          <w:szCs w:val="28"/>
        </w:rPr>
      </w:pPr>
      <w:r w:rsidRPr="008C1B16">
        <w:rPr>
          <w:b/>
          <w:szCs w:val="28"/>
        </w:rPr>
        <w:t>з о б о в ' я з у ю</w:t>
      </w:r>
      <w:r w:rsidRPr="008C1B16">
        <w:rPr>
          <w:szCs w:val="28"/>
        </w:rPr>
        <w:t>:</w:t>
      </w:r>
    </w:p>
    <w:p w:rsidR="00371574" w:rsidRPr="004924C8" w:rsidRDefault="00371574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371574" w:rsidP="00371574">
      <w:pPr>
        <w:ind w:firstLine="709"/>
        <w:jc w:val="both"/>
        <w:rPr>
          <w:szCs w:val="28"/>
        </w:rPr>
      </w:pPr>
      <w:r>
        <w:rPr>
          <w:rFonts w:eastAsia="Calibri"/>
          <w:color w:val="auto"/>
          <w:szCs w:val="28"/>
        </w:rPr>
        <w:t xml:space="preserve">1. </w:t>
      </w:r>
      <w:r w:rsidRPr="00371574">
        <w:rPr>
          <w:rFonts w:eastAsia="Calibri"/>
          <w:color w:val="auto"/>
          <w:szCs w:val="28"/>
        </w:rPr>
        <w:t>Створити призовні дільниці на базі: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- Прилуцького районного територіального центру комплектування та соціальної підтримки (далі – Прил</w:t>
      </w:r>
      <w:r>
        <w:rPr>
          <w:rFonts w:eastAsia="Calibri"/>
          <w:color w:val="auto"/>
          <w:szCs w:val="28"/>
        </w:rPr>
        <w:t xml:space="preserve">уцький РТЦК та СП) за адресою:                         </w:t>
      </w:r>
      <w:r w:rsidRPr="00371574">
        <w:rPr>
          <w:rFonts w:eastAsia="Calibri"/>
          <w:color w:val="auto"/>
          <w:szCs w:val="28"/>
        </w:rPr>
        <w:t>вул. Київська, 369 м. Прилуки;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 п</w:t>
      </w:r>
      <w:r w:rsidRPr="00371574">
        <w:rPr>
          <w:rFonts w:eastAsia="Calibri"/>
          <w:color w:val="auto"/>
          <w:szCs w:val="28"/>
        </w:rPr>
        <w:t>ершого відділу Прилуцького районного територіального центру комплектування та соціальної підтримки (далі – 1 відділ Прилуцького РТЦК та СП) за адресою: вул. Трудова буд. 2</w:t>
      </w:r>
      <w:r>
        <w:rPr>
          <w:rFonts w:eastAsia="Calibri"/>
          <w:color w:val="auto"/>
          <w:szCs w:val="28"/>
        </w:rPr>
        <w:t xml:space="preserve"> а</w:t>
      </w:r>
      <w:r w:rsidRPr="00371574">
        <w:rPr>
          <w:rFonts w:eastAsia="Calibri"/>
          <w:color w:val="auto"/>
          <w:szCs w:val="28"/>
        </w:rPr>
        <w:t>, м. Ічня;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 д</w:t>
      </w:r>
      <w:r w:rsidRPr="00371574">
        <w:rPr>
          <w:rFonts w:eastAsia="Calibri"/>
          <w:color w:val="auto"/>
          <w:szCs w:val="28"/>
        </w:rPr>
        <w:t>ругого відділу Прилуцького районного територіального центру комплектування та соціальної підтримки (далі – 2 відділ Прилуцького РТЦК та СП) за адресою: вул. Миру, 44</w:t>
      </w:r>
      <w:r>
        <w:rPr>
          <w:rFonts w:eastAsia="Calibri"/>
          <w:color w:val="auto"/>
          <w:szCs w:val="28"/>
        </w:rPr>
        <w:t xml:space="preserve"> </w:t>
      </w:r>
      <w:r w:rsidR="004924C8">
        <w:rPr>
          <w:rFonts w:eastAsia="Calibri"/>
          <w:color w:val="auto"/>
          <w:szCs w:val="28"/>
        </w:rPr>
        <w:t>а, смт</w:t>
      </w:r>
      <w:r w:rsidRPr="00371574">
        <w:rPr>
          <w:rFonts w:eastAsia="Calibri"/>
          <w:color w:val="auto"/>
          <w:szCs w:val="28"/>
        </w:rPr>
        <w:t xml:space="preserve"> Срібне;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- т</w:t>
      </w:r>
      <w:r w:rsidRPr="00371574">
        <w:rPr>
          <w:rFonts w:eastAsia="Calibri"/>
          <w:color w:val="auto"/>
          <w:szCs w:val="28"/>
        </w:rPr>
        <w:t>ретього відділу Прилуцького районного територіального центру комплектування та соціальної підтримки (далі – 3 відділ Прилуцького РТЦК та СП) за адре</w:t>
      </w:r>
      <w:r w:rsidR="004924C8">
        <w:rPr>
          <w:rFonts w:eastAsia="Calibri"/>
          <w:color w:val="auto"/>
          <w:szCs w:val="28"/>
        </w:rPr>
        <w:t>сою: вул. Зарічна, буд. 70, смт</w:t>
      </w:r>
      <w:r w:rsidRPr="00371574">
        <w:rPr>
          <w:rFonts w:eastAsia="Calibri"/>
          <w:color w:val="auto"/>
          <w:szCs w:val="28"/>
        </w:rPr>
        <w:t xml:space="preserve"> Варва;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1.1. Приписку громадян 2005 року народження провести протягом січня-березня 2022 року в приміщенні призовних дільниць Прилуцького РЦТК та СП та його підпорядкованих відділів.</w:t>
      </w:r>
    </w:p>
    <w:p w:rsidR="00371574" w:rsidRPr="004924C8" w:rsidRDefault="00371574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2. Утворити районну комісію з питань приписки громадян 2005 року народження до призовних дільниць Прилуцького РТЦК та СП та його підпорядкованих відділів та затвердити її склад (додаток 1).</w:t>
      </w:r>
    </w:p>
    <w:p w:rsidR="00371574" w:rsidRPr="004924C8" w:rsidRDefault="00371574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3. Для проведення медичного огляду громадян 2005 року народження, які підлягають приписці до призивних дільниць</w:t>
      </w:r>
      <w:r w:rsidR="00F95521">
        <w:rPr>
          <w:rFonts w:eastAsia="Calibri"/>
          <w:color w:val="auto"/>
          <w:szCs w:val="28"/>
        </w:rPr>
        <w:t>,</w:t>
      </w:r>
      <w:r w:rsidRPr="00371574">
        <w:rPr>
          <w:rFonts w:eastAsia="Calibri"/>
          <w:color w:val="auto"/>
          <w:szCs w:val="28"/>
        </w:rPr>
        <w:t xml:space="preserve"> утворити медичні комісії та затвердити їх склад (додаток 2).</w:t>
      </w:r>
    </w:p>
    <w:p w:rsidR="00371574" w:rsidRPr="004924C8" w:rsidRDefault="00371574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4. Прилуцькому РТЦК та СП та його підпорядкованим відділам: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4.1. Видати наказ про проведення приписки громадян 2005 року до призовних дільниць у 2022 році. Довести його через засоби масової інформації до нас</w:t>
      </w:r>
      <w:r w:rsidR="002E0928">
        <w:rPr>
          <w:rFonts w:eastAsia="Calibri"/>
          <w:color w:val="auto"/>
          <w:szCs w:val="28"/>
        </w:rPr>
        <w:t>елення, виконавчих комітетів міської</w:t>
      </w:r>
      <w:r w:rsidRPr="00371574">
        <w:rPr>
          <w:rFonts w:eastAsia="Calibri"/>
          <w:color w:val="auto"/>
          <w:szCs w:val="28"/>
        </w:rPr>
        <w:t>,</w:t>
      </w:r>
      <w:r w:rsidR="002E0928">
        <w:rPr>
          <w:rFonts w:eastAsia="Calibri"/>
          <w:color w:val="auto"/>
          <w:szCs w:val="28"/>
        </w:rPr>
        <w:t xml:space="preserve"> селищних, сільських </w:t>
      </w:r>
      <w:r w:rsidRPr="00371574">
        <w:rPr>
          <w:rFonts w:eastAsia="Calibri"/>
          <w:color w:val="auto"/>
          <w:szCs w:val="28"/>
        </w:rPr>
        <w:t>рад, керівників підприємств, установ, організацій і навчальних закладів району.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4.2. Скласти графіки проведення приписки громадян 2005 року народження до призовних дільниць.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 xml:space="preserve">4.3. Забезпечити своєчасне та якісне проведення приписки громадян </w:t>
      </w:r>
      <w:r w:rsidR="002E0928">
        <w:rPr>
          <w:rFonts w:eastAsia="Calibri"/>
          <w:color w:val="auto"/>
          <w:szCs w:val="28"/>
        </w:rPr>
        <w:t xml:space="preserve">         </w:t>
      </w:r>
      <w:r w:rsidRPr="00371574">
        <w:rPr>
          <w:rFonts w:eastAsia="Calibri"/>
          <w:color w:val="auto"/>
          <w:szCs w:val="28"/>
        </w:rPr>
        <w:t>2005 року народження до призовних дільниць.</w:t>
      </w:r>
    </w:p>
    <w:p w:rsid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 xml:space="preserve">4.4. До 01 травня 2022 року </w:t>
      </w:r>
      <w:r w:rsidR="004924C8">
        <w:rPr>
          <w:rFonts w:eastAsia="Calibri"/>
          <w:color w:val="auto"/>
          <w:szCs w:val="28"/>
        </w:rPr>
        <w:t>подати голові</w:t>
      </w:r>
      <w:r w:rsidRPr="00371574">
        <w:rPr>
          <w:rFonts w:eastAsia="Calibri"/>
          <w:color w:val="auto"/>
          <w:szCs w:val="28"/>
        </w:rPr>
        <w:t xml:space="preserve"> </w:t>
      </w:r>
      <w:r w:rsidR="002E0928">
        <w:rPr>
          <w:rFonts w:eastAsia="Calibri"/>
          <w:color w:val="auto"/>
          <w:szCs w:val="28"/>
        </w:rPr>
        <w:t>районної державної адміністрації</w:t>
      </w:r>
      <w:r w:rsidRPr="00371574">
        <w:rPr>
          <w:rFonts w:eastAsia="Calibri"/>
          <w:color w:val="auto"/>
          <w:szCs w:val="28"/>
        </w:rPr>
        <w:t xml:space="preserve">  інформацію про результа</w:t>
      </w:r>
      <w:r w:rsidR="004924C8">
        <w:rPr>
          <w:rFonts w:eastAsia="Calibri"/>
          <w:color w:val="auto"/>
          <w:szCs w:val="28"/>
        </w:rPr>
        <w:t xml:space="preserve">ти проведення приписки громадян </w:t>
      </w:r>
      <w:r w:rsidRPr="00371574">
        <w:rPr>
          <w:rFonts w:eastAsia="Calibri"/>
          <w:color w:val="auto"/>
          <w:szCs w:val="28"/>
        </w:rPr>
        <w:t>2005 року народження до призовних дільниць.</w:t>
      </w:r>
    </w:p>
    <w:p w:rsidR="002E0928" w:rsidRPr="004924C8" w:rsidRDefault="002E0928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5. Комунальне некомерційне підприємство «Варвинська лікарня» Варвинської селищної ради Прилуцького району Чернігівської області (далі – КНП «Варвинська лікарня» Варвинської селищної ради Прилуцького району Чернігівської області), комунальне некомерційне підприємство «Варвинський центр первинної медико-санітарної допомоги» Варвинської селищної ради Прилуцького району Чернігівської області (далі – КНП Варвинський ЦПМСД Варвинської селищної ради Прилуцького району Чернігівської області),   комунальне некомерційне підприємство «Ічнянська міська лікарня» Ічнянської міської ради Чернігівської області (далі – КНП «Ічнянська МЛ» Ічнянської міської ради Чернігівської області</w:t>
      </w:r>
      <w:r w:rsidR="002E0928">
        <w:rPr>
          <w:rFonts w:eastAsia="Calibri"/>
          <w:color w:val="auto"/>
          <w:szCs w:val="28"/>
        </w:rPr>
        <w:t>)</w:t>
      </w:r>
      <w:r w:rsidRPr="00371574">
        <w:rPr>
          <w:rFonts w:eastAsia="Calibri"/>
          <w:color w:val="auto"/>
          <w:szCs w:val="28"/>
        </w:rPr>
        <w:t>, комунальне некомерційне підприємство «Прилуцька центральна районна лікарня» Прилуцької районної ради Чернігівської області (далі – КНП «Прилуцька ЦРЛ» Прилуцької районної ради Чернігівської області), комунальне некомерційне підприємство «Срібнянська центральна лікарня» Срібнянської селищної ради Чернігівської області (далі – КНП «Срібнянська ЦЛ» Срібнянської селищної ради Чернігівської області</w:t>
      </w:r>
      <w:r w:rsidR="002E0928">
        <w:rPr>
          <w:rFonts w:eastAsia="Calibri"/>
          <w:color w:val="auto"/>
          <w:szCs w:val="28"/>
        </w:rPr>
        <w:t>)</w:t>
      </w:r>
      <w:r w:rsidRPr="00371574">
        <w:rPr>
          <w:rFonts w:eastAsia="Calibri"/>
          <w:color w:val="auto"/>
          <w:szCs w:val="28"/>
        </w:rPr>
        <w:t>, комунальне некомерційне підприємство «Талалаївська центральна лікарня» Талалаївської селищної ради Чернігівської області (далі – КНП «Талалаївська ЦЛ» Талалаївської селищної ради Чернігівської області</w:t>
      </w:r>
      <w:r w:rsidR="002E0928">
        <w:rPr>
          <w:rFonts w:eastAsia="Calibri"/>
          <w:color w:val="auto"/>
          <w:szCs w:val="28"/>
        </w:rPr>
        <w:t>), (</w:t>
      </w:r>
      <w:r w:rsidR="00092050">
        <w:rPr>
          <w:rFonts w:eastAsia="Calibri"/>
          <w:color w:val="auto"/>
          <w:szCs w:val="28"/>
        </w:rPr>
        <w:t>у</w:t>
      </w:r>
      <w:r w:rsidR="002E0928">
        <w:rPr>
          <w:rFonts w:eastAsia="Calibri"/>
          <w:color w:val="auto"/>
          <w:szCs w:val="28"/>
        </w:rPr>
        <w:t xml:space="preserve"> порядку рекомендації)</w:t>
      </w:r>
      <w:r w:rsidRPr="00371574">
        <w:rPr>
          <w:rFonts w:eastAsia="Calibri"/>
          <w:color w:val="auto"/>
          <w:szCs w:val="28"/>
        </w:rPr>
        <w:t>: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5.1. Забезпечити призовні дільниці медично-санітарним майном, медичним інструментарієм, оснащенням та медикаментами</w:t>
      </w:r>
      <w:r w:rsidR="00F95521">
        <w:rPr>
          <w:rFonts w:eastAsia="Calibri"/>
          <w:color w:val="auto"/>
          <w:szCs w:val="28"/>
        </w:rPr>
        <w:t>,</w:t>
      </w:r>
      <w:r w:rsidRPr="00371574">
        <w:rPr>
          <w:rFonts w:eastAsia="Calibri"/>
          <w:color w:val="auto"/>
          <w:szCs w:val="28"/>
        </w:rPr>
        <w:t xml:space="preserve"> які відповідають вимогам цієї роботи.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 xml:space="preserve">5.2. Для організації проведення приписки виділити необхідну кількість лікарів-спеціалістів та </w:t>
      </w:r>
      <w:r w:rsidR="001A5A3D" w:rsidRPr="00371574">
        <w:rPr>
          <w:rFonts w:eastAsia="Calibri"/>
          <w:color w:val="auto"/>
          <w:szCs w:val="28"/>
        </w:rPr>
        <w:t>медсест</w:t>
      </w:r>
      <w:r w:rsidR="001A5A3D">
        <w:rPr>
          <w:rFonts w:eastAsia="Calibri"/>
          <w:color w:val="auto"/>
          <w:szCs w:val="28"/>
        </w:rPr>
        <w:t>р</w:t>
      </w:r>
      <w:r w:rsidRPr="00371574">
        <w:rPr>
          <w:rFonts w:eastAsia="Calibri"/>
          <w:color w:val="auto"/>
          <w:szCs w:val="28"/>
        </w:rPr>
        <w:t>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5.3. До 15 грудня 2021 року з усіх лікувально-профілактичних закладів району передати в Прилуцький РТЦК та СП та його підпорядковані відділи амбулаторні диспансерні картки (Ф №</w:t>
      </w:r>
      <w:r w:rsidR="002E0928">
        <w:rPr>
          <w:rFonts w:eastAsia="Calibri"/>
          <w:color w:val="auto"/>
          <w:szCs w:val="28"/>
        </w:rPr>
        <w:t xml:space="preserve"> </w:t>
      </w:r>
      <w:r w:rsidRPr="00371574">
        <w:rPr>
          <w:rFonts w:eastAsia="Calibri"/>
          <w:color w:val="auto"/>
          <w:szCs w:val="28"/>
        </w:rPr>
        <w:t>25, Ф №</w:t>
      </w:r>
      <w:r w:rsidR="002E0928">
        <w:rPr>
          <w:rFonts w:eastAsia="Calibri"/>
          <w:color w:val="auto"/>
          <w:szCs w:val="28"/>
        </w:rPr>
        <w:t xml:space="preserve"> </w:t>
      </w:r>
      <w:r w:rsidRPr="00371574">
        <w:rPr>
          <w:rFonts w:eastAsia="Calibri"/>
          <w:color w:val="auto"/>
          <w:szCs w:val="28"/>
        </w:rPr>
        <w:t>25</w:t>
      </w:r>
      <w:r w:rsidR="002E0928">
        <w:rPr>
          <w:rFonts w:eastAsia="Calibri"/>
          <w:color w:val="auto"/>
          <w:szCs w:val="28"/>
        </w:rPr>
        <w:t xml:space="preserve"> </w:t>
      </w:r>
      <w:r w:rsidRPr="00371574">
        <w:rPr>
          <w:rFonts w:eastAsia="Calibri"/>
          <w:color w:val="auto"/>
          <w:szCs w:val="28"/>
        </w:rPr>
        <w:t>Ю) на всіх громадян 2005 року народження.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5.4. Для стаціонарного обстеження громадян виділити 10 ліжко-місць, забезпечити повне якісне обстеження громадян у встановлені терміни.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5.5. Провести громадянам рентгенівське (флюорографічне) обстеження органів грудної клітки, аналізів крові, сечі, електрокардіограм і інші обстеження. Визначити їм групу крові та резус-фактор. Видачу результатів а</w:t>
      </w:r>
      <w:r w:rsidR="004924C8">
        <w:rPr>
          <w:rFonts w:eastAsia="Calibri"/>
          <w:color w:val="auto"/>
          <w:szCs w:val="28"/>
        </w:rPr>
        <w:t xml:space="preserve">налізів проводити протягом </w:t>
      </w:r>
      <w:r w:rsidRPr="00371574">
        <w:rPr>
          <w:rFonts w:eastAsia="Calibri"/>
          <w:color w:val="auto"/>
          <w:szCs w:val="28"/>
        </w:rPr>
        <w:t>усього робочого дня.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5.6. Забезпечити виплату заробітної плати членам медичної комісії за період їх роботи на призовних дільницях за рахунок фонду оплати праці по медичних закладах згідно з п.4. ст.43 Закону України «Про військовий обов’язок і військову службу».</w:t>
      </w:r>
    </w:p>
    <w:p w:rsidR="00371574" w:rsidRPr="004924C8" w:rsidRDefault="00371574" w:rsidP="001A5A3D">
      <w:pPr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 xml:space="preserve">6. Виконкомам </w:t>
      </w:r>
      <w:r w:rsidR="00F95521">
        <w:rPr>
          <w:rFonts w:eastAsia="Calibri"/>
          <w:color w:val="auto"/>
          <w:szCs w:val="28"/>
        </w:rPr>
        <w:t>міської, селищних, сільських</w:t>
      </w:r>
      <w:r w:rsidR="002E0928">
        <w:rPr>
          <w:rFonts w:eastAsia="Calibri"/>
          <w:color w:val="auto"/>
          <w:szCs w:val="28"/>
        </w:rPr>
        <w:t xml:space="preserve"> рад</w:t>
      </w:r>
      <w:r w:rsidRPr="00371574">
        <w:rPr>
          <w:rFonts w:eastAsia="Calibri"/>
          <w:color w:val="auto"/>
          <w:szCs w:val="28"/>
        </w:rPr>
        <w:t>, керівникам підприємств, установ, організацій, навчальних закладів району</w:t>
      </w:r>
      <w:r w:rsidR="00092050">
        <w:rPr>
          <w:rFonts w:eastAsia="Calibri"/>
          <w:color w:val="auto"/>
          <w:szCs w:val="28"/>
        </w:rPr>
        <w:t xml:space="preserve"> (у</w:t>
      </w:r>
      <w:r w:rsidR="002E0928">
        <w:rPr>
          <w:rFonts w:eastAsia="Calibri"/>
          <w:color w:val="auto"/>
          <w:szCs w:val="28"/>
        </w:rPr>
        <w:t xml:space="preserve"> порядку рекомендації)</w:t>
      </w:r>
      <w:r w:rsidRPr="00371574">
        <w:rPr>
          <w:rFonts w:eastAsia="Calibri"/>
          <w:color w:val="auto"/>
          <w:szCs w:val="28"/>
        </w:rPr>
        <w:t>: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6.1. До 01 грудня 2021 року забезпечити подання до призовних дільниць Прилуцького РТЦК та СП та його підпорядкованих відділів списки громадян, які підлягають приписці.</w:t>
      </w:r>
    </w:p>
    <w:p w:rsidR="00371574" w:rsidRPr="00371574" w:rsidRDefault="00371574" w:rsidP="001A5A3D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 xml:space="preserve">6.2. З метою зменшення фінансових витрат громадян направити відповідальну особу </w:t>
      </w:r>
      <w:r w:rsidR="00092050">
        <w:rPr>
          <w:rFonts w:eastAsia="Calibri"/>
          <w:color w:val="auto"/>
          <w:szCs w:val="28"/>
        </w:rPr>
        <w:t xml:space="preserve">міської, селищних, сільських рад </w:t>
      </w:r>
      <w:r w:rsidRPr="00371574">
        <w:rPr>
          <w:rFonts w:eastAsia="Calibri"/>
          <w:color w:val="auto"/>
          <w:szCs w:val="28"/>
        </w:rPr>
        <w:t xml:space="preserve">в </w:t>
      </w:r>
      <w:r w:rsidR="001A5A3D" w:rsidRPr="001A5A3D">
        <w:rPr>
          <w:rFonts w:eastAsia="Calibri"/>
          <w:color w:val="auto"/>
          <w:szCs w:val="28"/>
        </w:rPr>
        <w:t>КНП «Варвинська лікарня» Варвинської селищної ради Прилуцько</w:t>
      </w:r>
      <w:r w:rsidR="001A5A3D">
        <w:rPr>
          <w:rFonts w:eastAsia="Calibri"/>
          <w:color w:val="auto"/>
          <w:szCs w:val="28"/>
        </w:rPr>
        <w:t>го району Чернігівської області</w:t>
      </w:r>
      <w:r w:rsidR="001A5A3D" w:rsidRPr="001A5A3D">
        <w:rPr>
          <w:rFonts w:eastAsia="Calibri"/>
          <w:color w:val="auto"/>
          <w:szCs w:val="28"/>
        </w:rPr>
        <w:t>, КНП Варвинський ЦПМСД Варвинської селищної ради Прилуцько</w:t>
      </w:r>
      <w:r w:rsidR="001A5A3D">
        <w:rPr>
          <w:rFonts w:eastAsia="Calibri"/>
          <w:color w:val="auto"/>
          <w:szCs w:val="28"/>
        </w:rPr>
        <w:t xml:space="preserve">го району Чернігівської області, </w:t>
      </w:r>
      <w:r w:rsidR="001A5A3D" w:rsidRPr="001A5A3D">
        <w:rPr>
          <w:rFonts w:eastAsia="Calibri"/>
          <w:color w:val="auto"/>
          <w:szCs w:val="28"/>
        </w:rPr>
        <w:t>КНП «Ічнянська МЛ» Ічнянської міс</w:t>
      </w:r>
      <w:r w:rsidR="001A5A3D">
        <w:rPr>
          <w:rFonts w:eastAsia="Calibri"/>
          <w:color w:val="auto"/>
          <w:szCs w:val="28"/>
        </w:rPr>
        <w:t>ької ради Чернігівської області</w:t>
      </w:r>
      <w:r w:rsidR="001A5A3D" w:rsidRPr="001A5A3D">
        <w:rPr>
          <w:rFonts w:eastAsia="Calibri"/>
          <w:color w:val="auto"/>
          <w:szCs w:val="28"/>
        </w:rPr>
        <w:t>, КНП «Прилуцька ЦРЛ» Прилуцької райо</w:t>
      </w:r>
      <w:r w:rsidR="001A5A3D">
        <w:rPr>
          <w:rFonts w:eastAsia="Calibri"/>
          <w:color w:val="auto"/>
          <w:szCs w:val="28"/>
        </w:rPr>
        <w:t>нної ради Чернігівської області</w:t>
      </w:r>
      <w:r w:rsidR="001A5A3D" w:rsidRPr="001A5A3D">
        <w:rPr>
          <w:rFonts w:eastAsia="Calibri"/>
          <w:color w:val="auto"/>
          <w:szCs w:val="28"/>
        </w:rPr>
        <w:t>, КНП «Срібнянська ЦЛ» Срібнянської сели</w:t>
      </w:r>
      <w:r w:rsidR="001A5A3D">
        <w:rPr>
          <w:rFonts w:eastAsia="Calibri"/>
          <w:color w:val="auto"/>
          <w:szCs w:val="28"/>
        </w:rPr>
        <w:t>щної ради Чернігівської області</w:t>
      </w:r>
      <w:r w:rsidR="001A5A3D" w:rsidRPr="001A5A3D">
        <w:rPr>
          <w:rFonts w:eastAsia="Calibri"/>
          <w:color w:val="auto"/>
          <w:szCs w:val="28"/>
        </w:rPr>
        <w:t>, КНП «Талалаївська ЦЛ» Талалаївської сели</w:t>
      </w:r>
      <w:r w:rsidR="001A5A3D">
        <w:rPr>
          <w:rFonts w:eastAsia="Calibri"/>
          <w:color w:val="auto"/>
          <w:szCs w:val="28"/>
        </w:rPr>
        <w:t xml:space="preserve">щної ради Чернігівської області </w:t>
      </w:r>
      <w:r w:rsidR="00092050" w:rsidRPr="00092050">
        <w:rPr>
          <w:rFonts w:eastAsia="Calibri"/>
          <w:color w:val="auto"/>
          <w:szCs w:val="28"/>
        </w:rPr>
        <w:t>для отримання результатів аналізів юнаків</w:t>
      </w:r>
      <w:r w:rsidRPr="00371574">
        <w:rPr>
          <w:rFonts w:eastAsia="Calibri"/>
          <w:color w:val="auto"/>
          <w:szCs w:val="28"/>
        </w:rPr>
        <w:t>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6.3. Забезпечити оповіщення і явку громадян на призовні дільниці відповідно до графіку проведення приписки.</w:t>
      </w:r>
    </w:p>
    <w:p w:rsidR="00371574" w:rsidRPr="004924C8" w:rsidRDefault="00371574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8E3A78" w:rsidP="00371574">
      <w:pPr>
        <w:ind w:firstLine="709"/>
        <w:jc w:val="both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7. Відділу освіти, сім’ї,</w:t>
      </w:r>
      <w:r w:rsidR="00371574" w:rsidRPr="00371574">
        <w:rPr>
          <w:rFonts w:eastAsia="Calibri"/>
          <w:color w:val="auto"/>
          <w:szCs w:val="28"/>
        </w:rPr>
        <w:t xml:space="preserve"> молоді та спорту Срібнянської селищної ради, відділу освіти, молоді та спорту Сухополов`янської сільської ради, відділу освіти</w:t>
      </w:r>
      <w:r w:rsidR="00F95521">
        <w:rPr>
          <w:rFonts w:eastAsia="Calibri"/>
          <w:color w:val="auto"/>
          <w:szCs w:val="28"/>
        </w:rPr>
        <w:t>,</w:t>
      </w:r>
      <w:r w:rsidR="00371574" w:rsidRPr="00371574">
        <w:rPr>
          <w:rFonts w:eastAsia="Calibri"/>
          <w:color w:val="auto"/>
          <w:szCs w:val="28"/>
        </w:rPr>
        <w:t xml:space="preserve"> культури, молоді та спорту Талалаївської селищної рад</w:t>
      </w:r>
      <w:r w:rsidR="009E6F25">
        <w:rPr>
          <w:rFonts w:eastAsia="Calibri"/>
          <w:color w:val="auto"/>
          <w:szCs w:val="28"/>
        </w:rPr>
        <w:t>и, відділу освіти</w:t>
      </w:r>
      <w:r w:rsidR="00F95521">
        <w:rPr>
          <w:rFonts w:eastAsia="Calibri"/>
          <w:color w:val="auto"/>
          <w:szCs w:val="28"/>
        </w:rPr>
        <w:t>,</w:t>
      </w:r>
      <w:r w:rsidR="009E6F25">
        <w:rPr>
          <w:rFonts w:eastAsia="Calibri"/>
          <w:color w:val="auto"/>
          <w:szCs w:val="28"/>
        </w:rPr>
        <w:t xml:space="preserve"> культури, сім</w:t>
      </w:r>
      <w:r w:rsidR="009E6F25" w:rsidRPr="00371574">
        <w:rPr>
          <w:rFonts w:eastAsia="Calibri"/>
          <w:color w:val="auto"/>
          <w:szCs w:val="28"/>
        </w:rPr>
        <w:t>’ї</w:t>
      </w:r>
      <w:r w:rsidR="00F95521">
        <w:rPr>
          <w:rFonts w:eastAsia="Calibri"/>
          <w:color w:val="auto"/>
          <w:szCs w:val="28"/>
        </w:rPr>
        <w:t xml:space="preserve">, </w:t>
      </w:r>
      <w:r w:rsidR="00371574" w:rsidRPr="00371574">
        <w:rPr>
          <w:rFonts w:eastAsia="Calibri"/>
          <w:color w:val="auto"/>
          <w:szCs w:val="28"/>
        </w:rPr>
        <w:t>молоді та спорту Яблунівської сільської ради, відділу освіти Варвинської селищної ради, відділу освіти Ічнянської міської ради, гуманітарному відділу Ладанської селищної ради</w:t>
      </w:r>
      <w:r w:rsidR="0011689A">
        <w:rPr>
          <w:rFonts w:eastAsia="Calibri"/>
          <w:color w:val="auto"/>
          <w:szCs w:val="28"/>
        </w:rPr>
        <w:t>, відділу освіти, культури, сім</w:t>
      </w:r>
      <w:r w:rsidR="0011689A" w:rsidRPr="00371574">
        <w:rPr>
          <w:rFonts w:eastAsia="Calibri"/>
          <w:color w:val="auto"/>
          <w:szCs w:val="28"/>
        </w:rPr>
        <w:t>’ї</w:t>
      </w:r>
      <w:r w:rsidR="00F95521">
        <w:rPr>
          <w:rFonts w:eastAsia="Calibri"/>
          <w:color w:val="auto"/>
          <w:szCs w:val="28"/>
        </w:rPr>
        <w:t>,</w:t>
      </w:r>
      <w:r w:rsidR="00371574" w:rsidRPr="00371574">
        <w:rPr>
          <w:rFonts w:eastAsia="Calibri"/>
          <w:color w:val="auto"/>
          <w:szCs w:val="28"/>
        </w:rPr>
        <w:t xml:space="preserve"> молоді та спорт</w:t>
      </w:r>
      <w:r w:rsidR="00A550CF">
        <w:rPr>
          <w:rFonts w:eastAsia="Calibri"/>
          <w:color w:val="auto"/>
          <w:szCs w:val="28"/>
        </w:rPr>
        <w:t xml:space="preserve">у Линовицької селищної ради, </w:t>
      </w:r>
      <w:r w:rsidR="0011689A">
        <w:rPr>
          <w:rFonts w:eastAsia="Calibri"/>
          <w:color w:val="auto"/>
          <w:szCs w:val="28"/>
        </w:rPr>
        <w:t>в</w:t>
      </w:r>
      <w:r w:rsidR="0011689A" w:rsidRPr="0011689A">
        <w:rPr>
          <w:rFonts w:eastAsia="Calibri"/>
          <w:color w:val="auto"/>
          <w:szCs w:val="28"/>
        </w:rPr>
        <w:t>ідділ</w:t>
      </w:r>
      <w:r w:rsidR="00A550CF">
        <w:rPr>
          <w:rFonts w:eastAsia="Calibri"/>
          <w:color w:val="auto"/>
          <w:szCs w:val="28"/>
        </w:rPr>
        <w:t xml:space="preserve">у </w:t>
      </w:r>
      <w:r w:rsidR="0011689A" w:rsidRPr="0011689A">
        <w:rPr>
          <w:rFonts w:eastAsia="Calibri"/>
          <w:color w:val="auto"/>
          <w:szCs w:val="28"/>
        </w:rPr>
        <w:t>освіти, культури, молоді та спорту Парафіївської селищної ради</w:t>
      </w:r>
      <w:r w:rsidR="00371574" w:rsidRPr="00371574">
        <w:rPr>
          <w:rFonts w:eastAsia="Calibri"/>
          <w:color w:val="auto"/>
          <w:szCs w:val="28"/>
        </w:rPr>
        <w:t xml:space="preserve">, </w:t>
      </w:r>
      <w:r w:rsidR="006511EC">
        <w:rPr>
          <w:rFonts w:eastAsia="Calibri"/>
          <w:color w:val="auto"/>
          <w:szCs w:val="28"/>
        </w:rPr>
        <w:t>в</w:t>
      </w:r>
      <w:r w:rsidR="006511EC" w:rsidRPr="006511EC">
        <w:rPr>
          <w:rFonts w:eastAsia="Calibri"/>
          <w:color w:val="auto"/>
          <w:szCs w:val="28"/>
        </w:rPr>
        <w:t>ідділ</w:t>
      </w:r>
      <w:r w:rsidR="00A550CF">
        <w:rPr>
          <w:rFonts w:eastAsia="Calibri"/>
          <w:color w:val="auto"/>
          <w:szCs w:val="28"/>
        </w:rPr>
        <w:t>у</w:t>
      </w:r>
      <w:r w:rsidR="006511EC" w:rsidRPr="006511EC">
        <w:rPr>
          <w:rFonts w:eastAsia="Calibri"/>
          <w:color w:val="auto"/>
          <w:szCs w:val="28"/>
        </w:rPr>
        <w:t xml:space="preserve"> освіти, культури, сім'ї, молоді та спорту Малодівицької селищної ради</w:t>
      </w:r>
      <w:r w:rsidR="00F95521">
        <w:rPr>
          <w:rFonts w:eastAsia="Calibri"/>
          <w:color w:val="auto"/>
          <w:szCs w:val="28"/>
        </w:rPr>
        <w:t>: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 xml:space="preserve">7.1. Виявити всіх громадян, які підлягають приписці, та не мають базової середньої освіти, не володіють або </w:t>
      </w:r>
      <w:r w:rsidR="004924C8">
        <w:rPr>
          <w:rFonts w:eastAsia="Calibri"/>
          <w:color w:val="auto"/>
          <w:szCs w:val="28"/>
        </w:rPr>
        <w:t xml:space="preserve">на початковому рівні </w:t>
      </w:r>
      <w:r w:rsidRPr="00371574">
        <w:rPr>
          <w:rFonts w:eastAsia="Calibri"/>
          <w:color w:val="auto"/>
          <w:szCs w:val="28"/>
        </w:rPr>
        <w:t>володіють українською мовою, і закріпити їх  за навчальними закладами району.</w:t>
      </w: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7.2. Сприяти проведенню спортивно-масових заходів з громадянами допризовного віку в навчальних закладах району.</w:t>
      </w:r>
    </w:p>
    <w:p w:rsidR="00371574" w:rsidRPr="004924C8" w:rsidRDefault="00371574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>8. Прилуцькому районному відділ</w:t>
      </w:r>
      <w:r w:rsidR="00F95521">
        <w:rPr>
          <w:rFonts w:eastAsia="Calibri"/>
          <w:color w:val="auto"/>
          <w:szCs w:val="28"/>
        </w:rPr>
        <w:t>у поліції Головного управління Н</w:t>
      </w:r>
      <w:r w:rsidRPr="00371574">
        <w:rPr>
          <w:rFonts w:eastAsia="Calibri"/>
          <w:color w:val="auto"/>
          <w:szCs w:val="28"/>
        </w:rPr>
        <w:t>аціональної поліції в Чернігівській області виділити наряди поліції для підтримання належного громадського порядку на призовних дільницях, а при необхідності – для примусової доставки громадян, які ухиляються від військового обліку і проходження приписки.</w:t>
      </w:r>
    </w:p>
    <w:p w:rsidR="00371574" w:rsidRPr="004924C8" w:rsidRDefault="00371574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371574" w:rsidRPr="00371574" w:rsidRDefault="00371574" w:rsidP="00371574">
      <w:pPr>
        <w:ind w:firstLine="709"/>
        <w:jc w:val="both"/>
        <w:rPr>
          <w:rFonts w:eastAsia="Calibri"/>
          <w:color w:val="auto"/>
          <w:szCs w:val="28"/>
        </w:rPr>
      </w:pPr>
      <w:r w:rsidRPr="00371574">
        <w:rPr>
          <w:rFonts w:eastAsia="Calibri"/>
          <w:color w:val="auto"/>
          <w:szCs w:val="28"/>
        </w:rPr>
        <w:t xml:space="preserve">9. Координацію роботи по виконанню </w:t>
      </w:r>
      <w:r w:rsidR="004924C8">
        <w:rPr>
          <w:rFonts w:eastAsia="Calibri"/>
          <w:color w:val="auto"/>
          <w:szCs w:val="28"/>
        </w:rPr>
        <w:t>цього</w:t>
      </w:r>
      <w:r w:rsidR="006511EC">
        <w:rPr>
          <w:rFonts w:eastAsia="Calibri"/>
          <w:color w:val="auto"/>
          <w:szCs w:val="28"/>
        </w:rPr>
        <w:t xml:space="preserve"> розпорядження покласти на Прилуцький</w:t>
      </w:r>
      <w:r w:rsidRPr="00371574">
        <w:rPr>
          <w:rFonts w:eastAsia="Calibri"/>
          <w:color w:val="auto"/>
          <w:szCs w:val="28"/>
        </w:rPr>
        <w:t xml:space="preserve"> РТЦК та СП.</w:t>
      </w:r>
    </w:p>
    <w:p w:rsidR="00371574" w:rsidRPr="004924C8" w:rsidRDefault="00371574" w:rsidP="00371574">
      <w:pPr>
        <w:ind w:firstLine="709"/>
        <w:jc w:val="both"/>
        <w:rPr>
          <w:rFonts w:eastAsia="Calibri"/>
          <w:color w:val="auto"/>
          <w:sz w:val="16"/>
          <w:szCs w:val="16"/>
        </w:rPr>
      </w:pPr>
    </w:p>
    <w:p w:rsidR="00595EEF" w:rsidRPr="00DE4FD0" w:rsidRDefault="00371574" w:rsidP="00371574">
      <w:pPr>
        <w:ind w:firstLine="709"/>
        <w:jc w:val="both"/>
        <w:rPr>
          <w:szCs w:val="28"/>
        </w:rPr>
      </w:pPr>
      <w:r w:rsidRPr="00371574">
        <w:rPr>
          <w:rFonts w:eastAsia="Calibri"/>
          <w:color w:val="auto"/>
          <w:szCs w:val="28"/>
        </w:rPr>
        <w:t xml:space="preserve">10. Контроль за виконанням </w:t>
      </w:r>
      <w:r w:rsidR="00F41728">
        <w:rPr>
          <w:rFonts w:eastAsia="Calibri"/>
          <w:color w:val="auto"/>
          <w:szCs w:val="28"/>
        </w:rPr>
        <w:t xml:space="preserve">цього </w:t>
      </w:r>
      <w:r w:rsidRPr="00371574">
        <w:rPr>
          <w:rFonts w:eastAsia="Calibri"/>
          <w:color w:val="auto"/>
          <w:szCs w:val="28"/>
        </w:rPr>
        <w:t xml:space="preserve">розпорядження покласти на заступника голови районної державної адміністрації, </w:t>
      </w:r>
      <w:r w:rsidR="00F41728" w:rsidRPr="00F41728">
        <w:rPr>
          <w:rFonts w:eastAsia="Calibri"/>
          <w:color w:val="auto"/>
          <w:szCs w:val="28"/>
        </w:rPr>
        <w:t xml:space="preserve">згідно </w:t>
      </w:r>
      <w:r w:rsidR="00F95521">
        <w:rPr>
          <w:rFonts w:eastAsia="Calibri"/>
          <w:color w:val="auto"/>
          <w:szCs w:val="28"/>
        </w:rPr>
        <w:t>з розподілом</w:t>
      </w:r>
      <w:r w:rsidR="00F41728" w:rsidRPr="00F41728">
        <w:rPr>
          <w:rFonts w:eastAsia="Calibri"/>
          <w:color w:val="auto"/>
          <w:szCs w:val="28"/>
        </w:rPr>
        <w:t xml:space="preserve"> обов’язків</w:t>
      </w:r>
      <w:r w:rsidR="008834DB" w:rsidRPr="008834DB">
        <w:rPr>
          <w:szCs w:val="28"/>
        </w:rPr>
        <w:t>.</w:t>
      </w:r>
    </w:p>
    <w:p w:rsidR="00752134" w:rsidRPr="00CA7D3C" w:rsidRDefault="00752134" w:rsidP="00967362">
      <w:pPr>
        <w:pStyle w:val="17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134" w:rsidRPr="00CA7D3C" w:rsidRDefault="00752134" w:rsidP="000B1A23">
      <w:pPr>
        <w:tabs>
          <w:tab w:val="left" w:pos="3248"/>
        </w:tabs>
        <w:ind w:right="200"/>
        <w:jc w:val="both"/>
        <w:rPr>
          <w:rFonts w:eastAsiaTheme="minorHAnsi"/>
          <w:color w:val="auto"/>
          <w:szCs w:val="28"/>
          <w:lang w:eastAsia="en-US"/>
        </w:rPr>
      </w:pPr>
    </w:p>
    <w:p w:rsidR="00752134" w:rsidRPr="00CA7D3C" w:rsidRDefault="006511EC" w:rsidP="00752134">
      <w:pPr>
        <w:tabs>
          <w:tab w:val="left" w:pos="3248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В. о. г</w:t>
      </w:r>
      <w:r w:rsidR="00752134" w:rsidRPr="00CA7D3C">
        <w:rPr>
          <w:color w:val="auto"/>
          <w:szCs w:val="28"/>
          <w:lang w:val="ru-RU"/>
        </w:rPr>
        <w:t>олов</w:t>
      </w:r>
      <w:r>
        <w:rPr>
          <w:color w:val="auto"/>
          <w:szCs w:val="28"/>
          <w:lang w:val="ru-RU"/>
        </w:rPr>
        <w:t>и</w:t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 w:rsidR="004A50BA" w:rsidRPr="00CA7D3C">
        <w:rPr>
          <w:color w:val="auto"/>
          <w:szCs w:val="28"/>
          <w:lang w:val="ru-RU"/>
        </w:rPr>
        <w:tab/>
      </w:r>
      <w:r>
        <w:rPr>
          <w:color w:val="auto"/>
          <w:szCs w:val="28"/>
          <w:lang w:val="ru-RU"/>
        </w:rPr>
        <w:t>Володимир ЧЕРНОВ</w:t>
      </w:r>
      <w:r w:rsidR="00752134" w:rsidRPr="00CA7D3C">
        <w:rPr>
          <w:color w:val="auto"/>
          <w:szCs w:val="28"/>
        </w:rPr>
        <w:t xml:space="preserve"> </w:t>
      </w:r>
    </w:p>
    <w:p w:rsidR="00752134" w:rsidRPr="00CA7D3C" w:rsidRDefault="00752134" w:rsidP="00752134">
      <w:pPr>
        <w:tabs>
          <w:tab w:val="left" w:pos="3248"/>
        </w:tabs>
        <w:ind w:left="5245"/>
        <w:rPr>
          <w:color w:val="auto"/>
          <w:szCs w:val="28"/>
        </w:rPr>
      </w:pPr>
      <w:bookmarkStart w:id="0" w:name="_GoBack"/>
      <w:bookmarkEnd w:id="0"/>
    </w:p>
    <w:p w:rsidR="00CA7D3C" w:rsidRDefault="00CA7D3C" w:rsidP="00752134">
      <w:pPr>
        <w:tabs>
          <w:tab w:val="left" w:pos="3248"/>
        </w:tabs>
        <w:ind w:left="5245"/>
        <w:rPr>
          <w:color w:val="auto"/>
          <w:szCs w:val="28"/>
        </w:rPr>
      </w:pPr>
    </w:p>
    <w:p w:rsidR="00CA7D3C" w:rsidRDefault="00CA7D3C" w:rsidP="00752134">
      <w:pPr>
        <w:tabs>
          <w:tab w:val="left" w:pos="3248"/>
        </w:tabs>
        <w:ind w:left="5245"/>
        <w:rPr>
          <w:color w:val="auto"/>
          <w:szCs w:val="28"/>
        </w:rPr>
      </w:pPr>
    </w:p>
    <w:p w:rsidR="00CA7D3C" w:rsidRDefault="00CA7D3C" w:rsidP="00752134">
      <w:pPr>
        <w:tabs>
          <w:tab w:val="left" w:pos="3248"/>
        </w:tabs>
        <w:ind w:left="5245"/>
        <w:rPr>
          <w:color w:val="auto"/>
          <w:szCs w:val="28"/>
        </w:rPr>
      </w:pPr>
    </w:p>
    <w:sectPr w:rsidR="00CA7D3C" w:rsidSect="00DF664E">
      <w:pgSz w:w="11907" w:h="16840"/>
      <w:pgMar w:top="1134" w:right="567" w:bottom="1134" w:left="1701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19" w:rsidRDefault="00C80B19">
      <w:r>
        <w:separator/>
      </w:r>
    </w:p>
  </w:endnote>
  <w:endnote w:type="continuationSeparator" w:id="0">
    <w:p w:rsidR="00C80B19" w:rsidRDefault="00C8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19" w:rsidRDefault="00C80B19">
      <w:r>
        <w:separator/>
      </w:r>
    </w:p>
  </w:footnote>
  <w:footnote w:type="continuationSeparator" w:id="0">
    <w:p w:rsidR="00C80B19" w:rsidRDefault="00C8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A1D"/>
    <w:multiLevelType w:val="hybridMultilevel"/>
    <w:tmpl w:val="D4E639B6"/>
    <w:lvl w:ilvl="0" w:tplc="1638BA1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5B3670"/>
    <w:multiLevelType w:val="hybridMultilevel"/>
    <w:tmpl w:val="CA665568"/>
    <w:lvl w:ilvl="0" w:tplc="F09AE1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234AB4"/>
    <w:multiLevelType w:val="hybridMultilevel"/>
    <w:tmpl w:val="391C68EC"/>
    <w:lvl w:ilvl="0" w:tplc="C54C7B78">
      <w:start w:val="1"/>
      <w:numFmt w:val="bullet"/>
      <w:lvlText w:val=""/>
      <w:lvlJc w:val="left"/>
      <w:pPr>
        <w:tabs>
          <w:tab w:val="left" w:pos="1212"/>
        </w:tabs>
        <w:ind w:left="285" w:firstLine="567"/>
      </w:pPr>
      <w:rPr>
        <w:rFonts w:ascii="Symbol" w:hAnsi="Symbol" w:hint="default"/>
        <w:sz w:val="28"/>
        <w:szCs w:val="28"/>
      </w:rPr>
    </w:lvl>
    <w:lvl w:ilvl="1" w:tplc="47226B86">
      <w:start w:val="1"/>
      <w:numFmt w:val="bullet"/>
      <w:lvlText w:val=""/>
      <w:lvlJc w:val="left"/>
      <w:pPr>
        <w:tabs>
          <w:tab w:val="left" w:pos="1821"/>
        </w:tabs>
        <w:ind w:left="1821" w:hanging="360"/>
      </w:pPr>
      <w:rPr>
        <w:rFonts w:ascii="Symbol" w:hAnsi="Symbol" w:hint="default"/>
        <w:sz w:val="28"/>
        <w:szCs w:val="28"/>
      </w:rPr>
    </w:lvl>
    <w:lvl w:ilvl="2" w:tplc="77B86FA2">
      <w:start w:val="1"/>
      <w:numFmt w:val="bullet"/>
      <w:lvlText w:val=""/>
      <w:lvlJc w:val="left"/>
      <w:pPr>
        <w:tabs>
          <w:tab w:val="left" w:pos="2541"/>
        </w:tabs>
        <w:ind w:left="2541" w:hanging="360"/>
      </w:pPr>
      <w:rPr>
        <w:rFonts w:ascii="Wingdings" w:hAnsi="Wingdings" w:hint="default"/>
      </w:rPr>
    </w:lvl>
    <w:lvl w:ilvl="3" w:tplc="15D872A6">
      <w:start w:val="1"/>
      <w:numFmt w:val="bullet"/>
      <w:lvlText w:val=""/>
      <w:lvlJc w:val="left"/>
      <w:pPr>
        <w:tabs>
          <w:tab w:val="left" w:pos="3261"/>
        </w:tabs>
        <w:ind w:left="3261" w:hanging="360"/>
      </w:pPr>
      <w:rPr>
        <w:rFonts w:ascii="Symbol" w:hAnsi="Symbol" w:hint="default"/>
      </w:rPr>
    </w:lvl>
    <w:lvl w:ilvl="4" w:tplc="A5961A0A">
      <w:start w:val="1"/>
      <w:numFmt w:val="bullet"/>
      <w:lvlText w:val="o"/>
      <w:lvlJc w:val="left"/>
      <w:pPr>
        <w:tabs>
          <w:tab w:val="left" w:pos="3981"/>
        </w:tabs>
        <w:ind w:left="3981" w:hanging="360"/>
      </w:pPr>
      <w:rPr>
        <w:rFonts w:ascii="Courier New" w:hAnsi="Courier New" w:hint="default"/>
      </w:rPr>
    </w:lvl>
    <w:lvl w:ilvl="5" w:tplc="58F41BA2">
      <w:start w:val="1"/>
      <w:numFmt w:val="bullet"/>
      <w:lvlText w:val=""/>
      <w:lvlJc w:val="left"/>
      <w:pPr>
        <w:tabs>
          <w:tab w:val="left" w:pos="4701"/>
        </w:tabs>
        <w:ind w:left="4701" w:hanging="360"/>
      </w:pPr>
      <w:rPr>
        <w:rFonts w:ascii="Wingdings" w:hAnsi="Wingdings" w:hint="default"/>
      </w:rPr>
    </w:lvl>
    <w:lvl w:ilvl="6" w:tplc="5F56F9BC">
      <w:start w:val="1"/>
      <w:numFmt w:val="bullet"/>
      <w:lvlText w:val=""/>
      <w:lvlJc w:val="left"/>
      <w:pPr>
        <w:tabs>
          <w:tab w:val="left" w:pos="5421"/>
        </w:tabs>
        <w:ind w:left="5421" w:hanging="360"/>
      </w:pPr>
      <w:rPr>
        <w:rFonts w:ascii="Symbol" w:hAnsi="Symbol" w:hint="default"/>
      </w:rPr>
    </w:lvl>
    <w:lvl w:ilvl="7" w:tplc="4FA62820">
      <w:start w:val="1"/>
      <w:numFmt w:val="bullet"/>
      <w:lvlText w:val="o"/>
      <w:lvlJc w:val="left"/>
      <w:pPr>
        <w:tabs>
          <w:tab w:val="left" w:pos="6141"/>
        </w:tabs>
        <w:ind w:left="6141" w:hanging="360"/>
      </w:pPr>
      <w:rPr>
        <w:rFonts w:ascii="Courier New" w:hAnsi="Courier New" w:hint="default"/>
      </w:rPr>
    </w:lvl>
    <w:lvl w:ilvl="8" w:tplc="D38E9696">
      <w:start w:val="1"/>
      <w:numFmt w:val="bullet"/>
      <w:lvlText w:val=""/>
      <w:lvlJc w:val="left"/>
      <w:pPr>
        <w:tabs>
          <w:tab w:val="left" w:pos="6861"/>
        </w:tabs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3194495D"/>
    <w:multiLevelType w:val="hybridMultilevel"/>
    <w:tmpl w:val="8140FB8E"/>
    <w:lvl w:ilvl="0" w:tplc="016E28DA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color w:val="auto"/>
      </w:rPr>
    </w:lvl>
    <w:lvl w:ilvl="1" w:tplc="AF3E4F6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6706CCB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3AA42C0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E3C0B7E2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166B74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06762132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D840AADE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AC2A723E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 w15:restartNumberingAfterBreak="0">
    <w:nsid w:val="37CB1DB6"/>
    <w:multiLevelType w:val="hybridMultilevel"/>
    <w:tmpl w:val="74F45188"/>
    <w:lvl w:ilvl="0" w:tplc="2FF64C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354EF"/>
    <w:multiLevelType w:val="hybridMultilevel"/>
    <w:tmpl w:val="48A8AC24"/>
    <w:lvl w:ilvl="0" w:tplc="6A0CA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2E2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9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48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EB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A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E8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08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5F4"/>
    <w:multiLevelType w:val="hybridMultilevel"/>
    <w:tmpl w:val="EBC2FDBC"/>
    <w:lvl w:ilvl="0" w:tplc="66589F32">
      <w:start w:val="2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9873DF"/>
    <w:multiLevelType w:val="multilevel"/>
    <w:tmpl w:val="EF182A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5ACC0148"/>
    <w:multiLevelType w:val="hybridMultilevel"/>
    <w:tmpl w:val="0B784CE2"/>
    <w:lvl w:ilvl="0" w:tplc="B8808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FF5699"/>
    <w:multiLevelType w:val="multilevel"/>
    <w:tmpl w:val="481E24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61"/>
    <w:rsid w:val="00037E61"/>
    <w:rsid w:val="00041098"/>
    <w:rsid w:val="000460F2"/>
    <w:rsid w:val="00072BE0"/>
    <w:rsid w:val="00075E8F"/>
    <w:rsid w:val="00092050"/>
    <w:rsid w:val="000A3BF4"/>
    <w:rsid w:val="000B1A23"/>
    <w:rsid w:val="000D4EB1"/>
    <w:rsid w:val="000E4C85"/>
    <w:rsid w:val="000F2A2D"/>
    <w:rsid w:val="00112941"/>
    <w:rsid w:val="0011689A"/>
    <w:rsid w:val="001A5A3D"/>
    <w:rsid w:val="001C2CC8"/>
    <w:rsid w:val="001F102F"/>
    <w:rsid w:val="00255B43"/>
    <w:rsid w:val="00280C83"/>
    <w:rsid w:val="002A6E0B"/>
    <w:rsid w:val="002E0928"/>
    <w:rsid w:val="003418AB"/>
    <w:rsid w:val="00364004"/>
    <w:rsid w:val="003651E4"/>
    <w:rsid w:val="00371574"/>
    <w:rsid w:val="003A40EE"/>
    <w:rsid w:val="003B09D4"/>
    <w:rsid w:val="004924C8"/>
    <w:rsid w:val="004A50BA"/>
    <w:rsid w:val="004D5C2B"/>
    <w:rsid w:val="004E50FF"/>
    <w:rsid w:val="00522D82"/>
    <w:rsid w:val="00552DEA"/>
    <w:rsid w:val="005620C4"/>
    <w:rsid w:val="005662DF"/>
    <w:rsid w:val="00595EEF"/>
    <w:rsid w:val="005A277E"/>
    <w:rsid w:val="005C0C62"/>
    <w:rsid w:val="006511EC"/>
    <w:rsid w:val="00673428"/>
    <w:rsid w:val="00685563"/>
    <w:rsid w:val="006F068A"/>
    <w:rsid w:val="006F5812"/>
    <w:rsid w:val="00711BE8"/>
    <w:rsid w:val="00752134"/>
    <w:rsid w:val="00766E5F"/>
    <w:rsid w:val="007F6BA0"/>
    <w:rsid w:val="00846641"/>
    <w:rsid w:val="00877477"/>
    <w:rsid w:val="008834DB"/>
    <w:rsid w:val="008C5927"/>
    <w:rsid w:val="008E3A78"/>
    <w:rsid w:val="00967362"/>
    <w:rsid w:val="009E6F25"/>
    <w:rsid w:val="00A44401"/>
    <w:rsid w:val="00A550CF"/>
    <w:rsid w:val="00AE12E3"/>
    <w:rsid w:val="00AF2EA5"/>
    <w:rsid w:val="00B016B2"/>
    <w:rsid w:val="00B74B95"/>
    <w:rsid w:val="00C45C88"/>
    <w:rsid w:val="00C47152"/>
    <w:rsid w:val="00C546B0"/>
    <w:rsid w:val="00C80B19"/>
    <w:rsid w:val="00C86385"/>
    <w:rsid w:val="00CA0873"/>
    <w:rsid w:val="00CA7D3C"/>
    <w:rsid w:val="00CB45A2"/>
    <w:rsid w:val="00CB5077"/>
    <w:rsid w:val="00D70491"/>
    <w:rsid w:val="00D834E1"/>
    <w:rsid w:val="00D83F8C"/>
    <w:rsid w:val="00DA7335"/>
    <w:rsid w:val="00DB3BC4"/>
    <w:rsid w:val="00DF664E"/>
    <w:rsid w:val="00E230A5"/>
    <w:rsid w:val="00EB58F2"/>
    <w:rsid w:val="00EC0968"/>
    <w:rsid w:val="00ED423E"/>
    <w:rsid w:val="00F41728"/>
    <w:rsid w:val="00F87C99"/>
    <w:rsid w:val="00F95521"/>
    <w:rsid w:val="00FC2A1D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AC725-F368-485C-992D-200CB729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sz w:val="32"/>
      <w:szCs w:val="32"/>
      <w:lang w:val="en-US" w:eastAsia="ru-RU"/>
    </w:rPr>
  </w:style>
  <w:style w:type="paragraph" w:styleId="af0">
    <w:name w:val="Normal (Web)"/>
    <w:basedOn w:val="a"/>
    <w:semiHidden/>
    <w:unhideWhenUsed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1">
    <w:name w:val="Subtitle"/>
    <w:basedOn w:val="a"/>
    <w:link w:val="af2"/>
    <w:qFormat/>
    <w:pPr>
      <w:spacing w:line="360" w:lineRule="auto"/>
      <w:jc w:val="center"/>
    </w:pPr>
    <w:rPr>
      <w:b/>
      <w:color w:val="auto"/>
      <w:szCs w:val="24"/>
    </w:rPr>
  </w:style>
  <w:style w:type="character" w:customStyle="1" w:styleId="af2">
    <w:name w:val="Підзаголовок Знак"/>
    <w:basedOn w:val="a0"/>
    <w:link w:val="a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5">
    <w:name w:val="Знак Знак Знак Знак1 Знак Знак Знак"/>
    <w:basedOn w:val="a"/>
    <w:rPr>
      <w:rFonts w:ascii="Verdana" w:hAnsi="Verdana" w:cs="Verdana"/>
      <w:color w:val="auto"/>
      <w:sz w:val="20"/>
      <w:lang w:val="en-US" w:eastAsia="en-US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Pr>
      <w:rFonts w:ascii="Calibri Light" w:eastAsia="Calibri Light" w:hAnsi="Calibri Light" w:cs="Calibri Light"/>
      <w:color w:val="2E74B5" w:themeColor="accent1" w:themeShade="B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986"/>
        <w:tab w:val="right" w:pos="9973"/>
      </w:tabs>
    </w:pPr>
  </w:style>
  <w:style w:type="character" w:customStyle="1" w:styleId="af5">
    <w:name w:val="Верхній колонтитул Знак"/>
    <w:basedOn w:val="a0"/>
    <w:link w:val="af4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986"/>
        <w:tab w:val="right" w:pos="9973"/>
      </w:tabs>
    </w:pPr>
  </w:style>
  <w:style w:type="character" w:customStyle="1" w:styleId="af7">
    <w:name w:val="Нижній колонтитул Знак"/>
    <w:basedOn w:val="a0"/>
    <w:link w:val="af6"/>
    <w:uiPriority w:val="9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6">
    <w:name w:val="Знак Знак1 Знак Знак Знак Знак Знак Знак"/>
    <w:basedOn w:val="a"/>
    <w:rPr>
      <w:rFonts w:ascii="Verdana" w:hAnsi="Verdana" w:cs="Verdana"/>
      <w:color w:val="auto"/>
      <w:sz w:val="20"/>
      <w:lang w:val="en-US" w:eastAsia="en-US"/>
    </w:rPr>
  </w:style>
  <w:style w:type="character" w:styleId="af8">
    <w:name w:val="page number"/>
    <w:basedOn w:val="a0"/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b">
    <w:name w:val="Основний текст_"/>
    <w:link w:val="17"/>
    <w:locked/>
    <w:rsid w:val="00752134"/>
    <w:rPr>
      <w:sz w:val="24"/>
      <w:szCs w:val="24"/>
      <w:shd w:val="clear" w:color="auto" w:fill="FFFFFF"/>
    </w:rPr>
  </w:style>
  <w:style w:type="paragraph" w:customStyle="1" w:styleId="17">
    <w:name w:val="Основний текст1"/>
    <w:basedOn w:val="a"/>
    <w:link w:val="afb"/>
    <w:rsid w:val="00752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80" w:line="240" w:lineRule="atLeast"/>
    </w:pPr>
    <w:rPr>
      <w:rFonts w:ascii="Calibri" w:eastAsia="Calibri" w:hAnsi="Calibri" w:cs="Calibri"/>
      <w:color w:val="auto"/>
      <w:sz w:val="24"/>
      <w:szCs w:val="24"/>
      <w:lang w:eastAsia="en-US"/>
    </w:rPr>
  </w:style>
  <w:style w:type="paragraph" w:customStyle="1" w:styleId="24">
    <w:name w:val="Знак Знак2"/>
    <w:basedOn w:val="a"/>
    <w:rsid w:val="00595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afc">
    <w:name w:val="Документ"/>
    <w:basedOn w:val="a"/>
    <w:rsid w:val="00595E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firstLine="851"/>
      <w:jc w:val="both"/>
    </w:pPr>
    <w:rPr>
      <w:color w:val="auto"/>
      <w:szCs w:val="28"/>
    </w:rPr>
  </w:style>
  <w:style w:type="character" w:customStyle="1" w:styleId="afd">
    <w:name w:val="Основний текст Знак"/>
    <w:link w:val="afe"/>
    <w:locked/>
    <w:rsid w:val="008834DB"/>
    <w:rPr>
      <w:sz w:val="28"/>
      <w:lang w:eastAsia="ru-RU"/>
    </w:rPr>
  </w:style>
  <w:style w:type="paragraph" w:styleId="afe">
    <w:name w:val="Body Text"/>
    <w:basedOn w:val="a"/>
    <w:link w:val="afd"/>
    <w:rsid w:val="008834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Calibri" w:eastAsia="Calibri" w:hAnsi="Calibri" w:cs="Calibri"/>
      <w:color w:val="auto"/>
      <w:szCs w:val="22"/>
    </w:rPr>
  </w:style>
  <w:style w:type="character" w:customStyle="1" w:styleId="18">
    <w:name w:val="Основний текст Знак1"/>
    <w:basedOn w:val="a0"/>
    <w:uiPriority w:val="99"/>
    <w:semiHidden/>
    <w:rsid w:val="008834D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5094</Words>
  <Characters>2905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Начальник Соціальног</cp:lastModifiedBy>
  <cp:revision>14</cp:revision>
  <cp:lastPrinted>2021-11-30T13:12:00Z</cp:lastPrinted>
  <dcterms:created xsi:type="dcterms:W3CDTF">2021-08-28T12:01:00Z</dcterms:created>
  <dcterms:modified xsi:type="dcterms:W3CDTF">2021-11-30T13:15:00Z</dcterms:modified>
</cp:coreProperties>
</file>