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6526B" w14:textId="77777777" w:rsidR="008D4887" w:rsidRDefault="00CA6B15">
      <w:pPr>
        <w:shd w:val="clear" w:color="auto" w:fill="FFFFFF"/>
        <w:spacing w:line="360" w:lineRule="atLeast"/>
        <w:jc w:val="center"/>
        <w:rPr>
          <w:color w:val="auto"/>
          <w:szCs w:val="28"/>
        </w:rPr>
      </w:pPr>
      <w:r>
        <w:rPr>
          <w:noProof/>
          <w:szCs w:val="28"/>
          <w:lang w:eastAsia="uk-UA"/>
        </w:rPr>
        <mc:AlternateContent>
          <mc:Choice Requires="wpg">
            <w:drawing>
              <wp:inline distT="0" distB="0" distL="0" distR="0" wp14:anchorId="612E5800" wp14:editId="49F2D2E3">
                <wp:extent cx="431165" cy="577850"/>
                <wp:effectExtent l="0" t="0" r="6985" b="0"/>
                <wp:docPr id="1" name="Рисунок 1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 descr="gerb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1165" cy="577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3.95pt;height:45.50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</w:p>
    <w:p w14:paraId="33D19B08" w14:textId="77777777" w:rsidR="008D4887" w:rsidRDefault="00CA6B15">
      <w:pPr>
        <w:spacing w:before="180" w:after="36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ПРИЛУЦЬКА РАЙОННА ДЕРЖАВНА АДМІНІСТРАЦІЯ ЧЕРНІГІВСЬКОЇ ОБЛАСТІ</w:t>
      </w:r>
    </w:p>
    <w:p w14:paraId="0B355C0C" w14:textId="77777777" w:rsidR="008D4887" w:rsidRDefault="00CA6B15">
      <w:pPr>
        <w:jc w:val="center"/>
        <w:rPr>
          <w:b/>
          <w:bCs/>
          <w:caps/>
          <w:spacing w:val="100"/>
          <w:szCs w:val="28"/>
        </w:rPr>
      </w:pPr>
      <w:r>
        <w:rPr>
          <w:b/>
          <w:bCs/>
          <w:caps/>
          <w:spacing w:val="100"/>
          <w:szCs w:val="28"/>
        </w:rPr>
        <w:t>РОЗПОРЯДЖЕННЯ</w:t>
      </w:r>
    </w:p>
    <w:p w14:paraId="1918FF8B" w14:textId="77777777" w:rsidR="008D4887" w:rsidRDefault="008D4887">
      <w:pPr>
        <w:jc w:val="center"/>
        <w:rPr>
          <w:b/>
          <w:bCs/>
          <w:caps/>
          <w:spacing w:val="100"/>
          <w:szCs w:val="28"/>
        </w:rPr>
      </w:pPr>
    </w:p>
    <w:p w14:paraId="6F104066" w14:textId="77777777" w:rsidR="008D4887" w:rsidRDefault="00CA6B15">
      <w:pPr>
        <w:framePr w:w="9746" w:hSpace="170" w:wrap="auto" w:vAnchor="text" w:hAnchor="page" w:x="1510" w:y="91"/>
        <w:spacing w:before="120"/>
        <w:rPr>
          <w:szCs w:val="28"/>
        </w:rPr>
      </w:pPr>
      <w:r>
        <w:rPr>
          <w:szCs w:val="28"/>
        </w:rPr>
        <w:tab/>
      </w:r>
    </w:p>
    <w:tbl>
      <w:tblPr>
        <w:tblpPr w:leftFromText="180" w:rightFromText="180" w:vertAnchor="text" w:horzAnchor="margin" w:tblpY="58"/>
        <w:tblW w:w="91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3504"/>
        <w:gridCol w:w="862"/>
        <w:gridCol w:w="1276"/>
      </w:tblGrid>
      <w:tr w:rsidR="000F27DA" w:rsidRPr="004F0E81" w14:paraId="67DD36BC" w14:textId="77777777" w:rsidTr="000F27DA">
        <w:trPr>
          <w:trHeight w:hRule="exact" w:val="340"/>
        </w:trPr>
        <w:tc>
          <w:tcPr>
            <w:tcW w:w="426" w:type="dxa"/>
            <w:vAlign w:val="bottom"/>
          </w:tcPr>
          <w:p w14:paraId="5D837F24" w14:textId="77777777" w:rsidR="000F27DA" w:rsidRPr="004F0E81" w:rsidRDefault="000F27DA">
            <w:pPr>
              <w:rPr>
                <w:szCs w:val="28"/>
              </w:rPr>
            </w:pPr>
            <w:r w:rsidRPr="004F0E81">
              <w:rPr>
                <w:szCs w:val="28"/>
              </w:rPr>
              <w:t>від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8B16C1C" w14:textId="7A987628" w:rsidR="000F27DA" w:rsidRPr="004F0E81" w:rsidRDefault="000F27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4F0E81">
              <w:rPr>
                <w:szCs w:val="28"/>
              </w:rPr>
              <w:t xml:space="preserve"> </w:t>
            </w:r>
            <w:r>
              <w:rPr>
                <w:szCs w:val="28"/>
              </w:rPr>
              <w:t>червня</w:t>
            </w:r>
          </w:p>
        </w:tc>
        <w:tc>
          <w:tcPr>
            <w:tcW w:w="1417" w:type="dxa"/>
            <w:vAlign w:val="bottom"/>
          </w:tcPr>
          <w:p w14:paraId="698D3474" w14:textId="74C0AE7B" w:rsidR="000F27DA" w:rsidRPr="004F0E81" w:rsidRDefault="000F27DA">
            <w:pPr>
              <w:jc w:val="both"/>
              <w:rPr>
                <w:szCs w:val="28"/>
              </w:rPr>
            </w:pPr>
            <w:r w:rsidRPr="004F0E81">
              <w:rPr>
                <w:szCs w:val="28"/>
              </w:rPr>
              <w:t>2026 р.</w:t>
            </w:r>
          </w:p>
        </w:tc>
        <w:tc>
          <w:tcPr>
            <w:tcW w:w="3504" w:type="dxa"/>
            <w:vAlign w:val="bottom"/>
          </w:tcPr>
          <w:p w14:paraId="69222E83" w14:textId="5281DB49" w:rsidR="000F27DA" w:rsidRPr="004F0E81" w:rsidRDefault="000F27DA" w:rsidP="000F27DA">
            <w:pPr>
              <w:keepNext/>
              <w:spacing w:before="60" w:line="240" w:lineRule="exact"/>
              <w:ind w:right="-29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м. Прилуки</w:t>
            </w:r>
          </w:p>
        </w:tc>
        <w:tc>
          <w:tcPr>
            <w:tcW w:w="862" w:type="dxa"/>
            <w:vAlign w:val="bottom"/>
          </w:tcPr>
          <w:p w14:paraId="76691EAC" w14:textId="61850BCA" w:rsidR="000F27DA" w:rsidRPr="004F0E81" w:rsidRDefault="000F27DA" w:rsidP="000F27DA">
            <w:pPr>
              <w:keepNext/>
              <w:spacing w:before="60" w:line="240" w:lineRule="exact"/>
              <w:ind w:right="-29"/>
              <w:jc w:val="center"/>
              <w:outlineLvl w:val="0"/>
              <w:rPr>
                <w:szCs w:val="28"/>
              </w:rPr>
            </w:pPr>
            <w:r w:rsidRPr="004F0E81">
              <w:rPr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0AD0E252" w14:textId="4A2B33A5" w:rsidR="000F27DA" w:rsidRDefault="000F27DA" w:rsidP="0087262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  <w:p w14:paraId="5F5F58C4" w14:textId="51B43E8F" w:rsidR="000F27DA" w:rsidRPr="004F0E81" w:rsidRDefault="000F27DA" w:rsidP="0087262C">
            <w:pPr>
              <w:jc w:val="center"/>
              <w:rPr>
                <w:szCs w:val="28"/>
              </w:rPr>
            </w:pPr>
          </w:p>
        </w:tc>
      </w:tr>
    </w:tbl>
    <w:p w14:paraId="2C89BAD7" w14:textId="77777777" w:rsidR="008D4887" w:rsidRPr="004F0E81" w:rsidRDefault="008D4887">
      <w:pPr>
        <w:rPr>
          <w:b/>
          <w:i/>
          <w:sz w:val="27"/>
          <w:szCs w:val="27"/>
        </w:rPr>
      </w:pPr>
    </w:p>
    <w:p w14:paraId="3AD19D34" w14:textId="4449F47A" w:rsidR="008D4887" w:rsidRPr="004F0E81" w:rsidRDefault="00CA6B15">
      <w:pPr>
        <w:rPr>
          <w:b/>
          <w:i/>
          <w:szCs w:val="28"/>
        </w:rPr>
      </w:pPr>
      <w:r w:rsidRPr="004F0E81">
        <w:rPr>
          <w:b/>
          <w:i/>
          <w:szCs w:val="28"/>
        </w:rPr>
        <w:t xml:space="preserve">Про </w:t>
      </w:r>
      <w:r w:rsidR="00344AAB" w:rsidRPr="004F0E81">
        <w:rPr>
          <w:b/>
          <w:i/>
          <w:szCs w:val="28"/>
        </w:rPr>
        <w:t xml:space="preserve">внесення змін до </w:t>
      </w:r>
      <w:r w:rsidRPr="004F0E81">
        <w:rPr>
          <w:b/>
          <w:i/>
          <w:szCs w:val="28"/>
        </w:rPr>
        <w:t>Програм</w:t>
      </w:r>
      <w:r w:rsidR="00344AAB" w:rsidRPr="004F0E81">
        <w:rPr>
          <w:b/>
          <w:i/>
          <w:szCs w:val="28"/>
        </w:rPr>
        <w:t>и</w:t>
      </w:r>
      <w:r w:rsidRPr="004F0E81">
        <w:rPr>
          <w:b/>
          <w:i/>
          <w:szCs w:val="28"/>
        </w:rPr>
        <w:t xml:space="preserve"> передачі нетелей </w:t>
      </w:r>
    </w:p>
    <w:p w14:paraId="1688983A" w14:textId="77777777" w:rsidR="008D4887" w:rsidRPr="004F0E81" w:rsidRDefault="00CA6B15">
      <w:pPr>
        <w:rPr>
          <w:b/>
          <w:i/>
          <w:szCs w:val="28"/>
        </w:rPr>
      </w:pPr>
      <w:r w:rsidRPr="004F0E81">
        <w:rPr>
          <w:b/>
          <w:i/>
          <w:szCs w:val="28"/>
        </w:rPr>
        <w:t xml:space="preserve">багатодітним сім’ям, які проживають </w:t>
      </w:r>
    </w:p>
    <w:p w14:paraId="04A87DBA" w14:textId="77777777" w:rsidR="00344AAB" w:rsidRPr="004F0E81" w:rsidRDefault="00CA6B15">
      <w:pPr>
        <w:rPr>
          <w:b/>
          <w:i/>
          <w:szCs w:val="28"/>
        </w:rPr>
      </w:pPr>
      <w:r w:rsidRPr="004F0E81">
        <w:rPr>
          <w:b/>
          <w:i/>
          <w:szCs w:val="28"/>
        </w:rPr>
        <w:t>у сільській місцевості Прилуцького району</w:t>
      </w:r>
    </w:p>
    <w:p w14:paraId="00854880" w14:textId="130F4138" w:rsidR="00344AAB" w:rsidRPr="004F0E81" w:rsidRDefault="00DB2881">
      <w:pPr>
        <w:rPr>
          <w:b/>
          <w:i/>
          <w:szCs w:val="28"/>
        </w:rPr>
      </w:pPr>
      <w:r>
        <w:rPr>
          <w:b/>
          <w:i/>
          <w:szCs w:val="28"/>
        </w:rPr>
        <w:t>на 2021-2027 роки</w:t>
      </w:r>
    </w:p>
    <w:p w14:paraId="2211BCED" w14:textId="2FDAAD6F" w:rsidR="000B0604" w:rsidRPr="003172B8" w:rsidRDefault="000B0604" w:rsidP="00603272">
      <w:pPr>
        <w:spacing w:before="120" w:after="240"/>
        <w:ind w:firstLine="567"/>
        <w:jc w:val="both"/>
        <w:rPr>
          <w:color w:val="auto"/>
          <w:szCs w:val="28"/>
        </w:rPr>
      </w:pPr>
      <w:r w:rsidRPr="00E63127">
        <w:rPr>
          <w:szCs w:val="28"/>
        </w:rPr>
        <w:t>Відповідно до статей 6, 39, 41 Закону України «Про місцеві державні адміністрації», стат</w:t>
      </w:r>
      <w:r w:rsidR="002F7203">
        <w:rPr>
          <w:szCs w:val="28"/>
        </w:rPr>
        <w:t>т</w:t>
      </w:r>
      <w:r w:rsidRPr="00E63127">
        <w:rPr>
          <w:szCs w:val="28"/>
        </w:rPr>
        <w:t>і 15 Закону України «Про правовий режим воєнного стану»</w:t>
      </w:r>
      <w:r w:rsidR="00D352EA" w:rsidRPr="00E63127">
        <w:rPr>
          <w:szCs w:val="28"/>
        </w:rPr>
        <w:t>,</w:t>
      </w:r>
      <w:r w:rsidRPr="00E63127">
        <w:rPr>
          <w:szCs w:val="28"/>
        </w:rPr>
        <w:t xml:space="preserve"> на виконання розпорядження начальника Чернігівської обласної військової адміністрації від 06 травня 2026 року № 648</w:t>
      </w:r>
      <w:r w:rsidR="008212B1">
        <w:rPr>
          <w:szCs w:val="28"/>
        </w:rPr>
        <w:t xml:space="preserve"> «Про внесення</w:t>
      </w:r>
      <w:r w:rsidR="00E63127" w:rsidRPr="00367F40">
        <w:t xml:space="preserve"> змін</w:t>
      </w:r>
      <w:r w:rsidR="00E63127" w:rsidRPr="00367F40">
        <w:rPr>
          <w:szCs w:val="28"/>
        </w:rPr>
        <w:t xml:space="preserve"> </w:t>
      </w:r>
      <w:r w:rsidR="0071470B" w:rsidRPr="00367F40">
        <w:rPr>
          <w:szCs w:val="28"/>
        </w:rPr>
        <w:t xml:space="preserve">до </w:t>
      </w:r>
      <w:r w:rsidRPr="00367F40">
        <w:rPr>
          <w:szCs w:val="28"/>
        </w:rPr>
        <w:t>Комплексної Програми підтримки розвитку</w:t>
      </w:r>
      <w:r w:rsidRPr="00E63127">
        <w:rPr>
          <w:szCs w:val="28"/>
        </w:rPr>
        <w:t xml:space="preserve"> агропромислового комплексу Чернігівської області на 2021-2027 роки</w:t>
      </w:r>
      <w:r w:rsidR="008212B1">
        <w:rPr>
          <w:szCs w:val="28"/>
        </w:rPr>
        <w:t xml:space="preserve">» </w:t>
      </w:r>
    </w:p>
    <w:p w14:paraId="7EEF1CF9" w14:textId="19AB3C81" w:rsidR="008D4887" w:rsidRPr="005D3023" w:rsidRDefault="00CA6B15" w:rsidP="00603272">
      <w:pPr>
        <w:spacing w:before="120" w:after="240"/>
        <w:jc w:val="both"/>
        <w:rPr>
          <w:b/>
          <w:color w:val="auto"/>
          <w:spacing w:val="40"/>
          <w:szCs w:val="28"/>
        </w:rPr>
      </w:pPr>
      <w:r w:rsidRPr="005D3023">
        <w:rPr>
          <w:b/>
          <w:color w:val="auto"/>
          <w:spacing w:val="40"/>
          <w:szCs w:val="28"/>
        </w:rPr>
        <w:t>зобов’язую:</w:t>
      </w:r>
    </w:p>
    <w:p w14:paraId="692C4FA0" w14:textId="318110C7" w:rsidR="004C5567" w:rsidRPr="00124905" w:rsidRDefault="005D3023" w:rsidP="00E63127">
      <w:pPr>
        <w:spacing w:after="240"/>
        <w:ind w:firstLine="567"/>
        <w:jc w:val="both"/>
        <w:rPr>
          <w:szCs w:val="28"/>
        </w:rPr>
      </w:pPr>
      <w:r>
        <w:rPr>
          <w:color w:val="auto"/>
          <w:szCs w:val="28"/>
        </w:rPr>
        <w:t>1. </w:t>
      </w:r>
      <w:proofErr w:type="spellStart"/>
      <w:r w:rsidR="0033325A" w:rsidRPr="00124905">
        <w:rPr>
          <w:color w:val="auto"/>
          <w:szCs w:val="28"/>
        </w:rPr>
        <w:t>Внести</w:t>
      </w:r>
      <w:proofErr w:type="spellEnd"/>
      <w:r w:rsidR="004C5567" w:rsidRPr="00124905">
        <w:rPr>
          <w:color w:val="auto"/>
          <w:szCs w:val="28"/>
        </w:rPr>
        <w:t xml:space="preserve"> до</w:t>
      </w:r>
      <w:r w:rsidR="002460C6" w:rsidRPr="00124905">
        <w:rPr>
          <w:color w:val="auto"/>
          <w:szCs w:val="28"/>
        </w:rPr>
        <w:t xml:space="preserve"> </w:t>
      </w:r>
      <w:r w:rsidR="00CA6B15" w:rsidRPr="00124905">
        <w:rPr>
          <w:szCs w:val="28"/>
        </w:rPr>
        <w:t>Програм</w:t>
      </w:r>
      <w:r w:rsidR="000E4EB4" w:rsidRPr="00124905">
        <w:rPr>
          <w:szCs w:val="28"/>
        </w:rPr>
        <w:t>и</w:t>
      </w:r>
      <w:r w:rsidR="00CA6B15" w:rsidRPr="00124905">
        <w:rPr>
          <w:szCs w:val="28"/>
        </w:rPr>
        <w:t xml:space="preserve"> передачі нетелей багатодітним сім’ям, які проживають у сільській місцевості Прилуцького району на 2021 – 2027 роки</w:t>
      </w:r>
      <w:r>
        <w:rPr>
          <w:szCs w:val="28"/>
        </w:rPr>
        <w:t>, затвердженої</w:t>
      </w:r>
      <w:r w:rsidR="00AA2196" w:rsidRPr="00124905">
        <w:rPr>
          <w:szCs w:val="28"/>
        </w:rPr>
        <w:t xml:space="preserve"> </w:t>
      </w:r>
      <w:r w:rsidR="004A1D81">
        <w:rPr>
          <w:szCs w:val="28"/>
        </w:rPr>
        <w:t>рішенням 7 (позачергової) сесії районної ради восьмого скликання 30 квітня 2021 року №</w:t>
      </w:r>
      <w:r w:rsidR="00EB0189">
        <w:rPr>
          <w:szCs w:val="28"/>
        </w:rPr>
        <w:t> </w:t>
      </w:r>
      <w:r w:rsidR="004A1D81">
        <w:rPr>
          <w:szCs w:val="28"/>
        </w:rPr>
        <w:t>1-7/</w:t>
      </w:r>
      <w:r w:rsidR="004A1D81">
        <w:rPr>
          <w:szCs w:val="28"/>
          <w:lang w:val="en-US"/>
        </w:rPr>
        <w:t>VIII</w:t>
      </w:r>
      <w:r w:rsidR="004A1D81" w:rsidRPr="004A1D81">
        <w:rPr>
          <w:szCs w:val="28"/>
        </w:rPr>
        <w:t xml:space="preserve"> </w:t>
      </w:r>
      <w:r w:rsidR="004A1D81">
        <w:rPr>
          <w:szCs w:val="28"/>
        </w:rPr>
        <w:t xml:space="preserve">та схваленої розпорядженням голови Прилуцької районної державної </w:t>
      </w:r>
      <w:r w:rsidR="001A5A86">
        <w:rPr>
          <w:szCs w:val="28"/>
        </w:rPr>
        <w:t>адміністрації 22 квітня 2021 року №</w:t>
      </w:r>
      <w:r w:rsidR="00EB0189">
        <w:rPr>
          <w:szCs w:val="28"/>
        </w:rPr>
        <w:t> </w:t>
      </w:r>
      <w:r w:rsidR="001A5A86">
        <w:rPr>
          <w:szCs w:val="28"/>
        </w:rPr>
        <w:t xml:space="preserve">133 </w:t>
      </w:r>
      <w:r w:rsidR="004C5567" w:rsidRPr="00124905">
        <w:rPr>
          <w:szCs w:val="28"/>
        </w:rPr>
        <w:t>такі зміни:</w:t>
      </w:r>
    </w:p>
    <w:p w14:paraId="69EE3BDC" w14:textId="5B4248C0" w:rsidR="00EA1CBE" w:rsidRDefault="00EA1CBE" w:rsidP="005D3023">
      <w:pPr>
        <w:spacing w:after="120"/>
        <w:ind w:firstLine="567"/>
        <w:jc w:val="both"/>
        <w:rPr>
          <w:szCs w:val="28"/>
        </w:rPr>
      </w:pPr>
      <w:r>
        <w:t>1) у абзаці четвертому розділу 4 «Фінансове забезпечення Програми» слова та цифри «у 2026 році 4 нетелі» та «у 2027 році 4 нетелі» замінити словами та цифрами «у 2026 році 2 нетелі» та «у 2027 році 2 нетелі» відповідно.</w:t>
      </w:r>
    </w:p>
    <w:p w14:paraId="6519E30B" w14:textId="62EA3C6E" w:rsidR="00F13E99" w:rsidRDefault="005D3023" w:rsidP="005D3023">
      <w:pPr>
        <w:spacing w:after="120"/>
        <w:ind w:firstLine="567"/>
        <w:jc w:val="both"/>
        <w:rPr>
          <w:szCs w:val="28"/>
        </w:rPr>
      </w:pPr>
      <w:r>
        <w:rPr>
          <w:szCs w:val="28"/>
        </w:rPr>
        <w:t>2</w:t>
      </w:r>
      <w:r w:rsidR="00174349">
        <w:rPr>
          <w:szCs w:val="28"/>
        </w:rPr>
        <w:t>)</w:t>
      </w:r>
      <w:r w:rsidR="00EB0189">
        <w:rPr>
          <w:szCs w:val="28"/>
        </w:rPr>
        <w:t> </w:t>
      </w:r>
      <w:r>
        <w:rPr>
          <w:szCs w:val="28"/>
        </w:rPr>
        <w:t>д</w:t>
      </w:r>
      <w:r w:rsidR="00174349">
        <w:rPr>
          <w:szCs w:val="28"/>
        </w:rPr>
        <w:t>одаток 1 до Програми передачі нетелей багатодітним сім’ям, які проживають у сільській місцевості Прилуцького району на 2021-2027 роки викласти в новій редакції, що додається.</w:t>
      </w:r>
    </w:p>
    <w:p w14:paraId="730F8C13" w14:textId="367D98DC" w:rsidR="00F13E99" w:rsidRDefault="00F13E99">
      <w:pPr>
        <w:jc w:val="both"/>
        <w:rPr>
          <w:szCs w:val="28"/>
        </w:rPr>
      </w:pPr>
    </w:p>
    <w:p w14:paraId="6C4EA33C" w14:textId="77777777" w:rsidR="00F13E99" w:rsidRDefault="00F13E99">
      <w:pPr>
        <w:jc w:val="both"/>
        <w:rPr>
          <w:szCs w:val="28"/>
        </w:rPr>
      </w:pPr>
    </w:p>
    <w:p w14:paraId="1A26E510" w14:textId="7ED391D4" w:rsidR="008D4887" w:rsidRDefault="000E4EB4">
      <w:pPr>
        <w:jc w:val="both"/>
        <w:rPr>
          <w:szCs w:val="28"/>
        </w:rPr>
      </w:pPr>
      <w:r>
        <w:rPr>
          <w:szCs w:val="28"/>
        </w:rPr>
        <w:t>Начальник</w:t>
      </w:r>
      <w:r w:rsidR="00CA6B15">
        <w:rPr>
          <w:szCs w:val="28"/>
        </w:rPr>
        <w:t xml:space="preserve"> </w:t>
      </w:r>
      <w:r w:rsidR="00CA6B15">
        <w:rPr>
          <w:szCs w:val="28"/>
        </w:rPr>
        <w:tab/>
      </w:r>
      <w:r w:rsidR="00CA6B15">
        <w:rPr>
          <w:szCs w:val="28"/>
        </w:rPr>
        <w:tab/>
      </w:r>
      <w:r w:rsidR="00CA6B15">
        <w:rPr>
          <w:szCs w:val="28"/>
        </w:rPr>
        <w:tab/>
      </w:r>
      <w:r w:rsidR="00CA6B15">
        <w:rPr>
          <w:szCs w:val="28"/>
        </w:rPr>
        <w:tab/>
      </w:r>
      <w:r w:rsidR="00CA6B15">
        <w:rPr>
          <w:szCs w:val="28"/>
        </w:rPr>
        <w:tab/>
      </w:r>
      <w:r w:rsidR="00CA6B15">
        <w:rPr>
          <w:szCs w:val="28"/>
        </w:rPr>
        <w:tab/>
      </w:r>
      <w:r w:rsidR="00CA6B15">
        <w:rPr>
          <w:szCs w:val="28"/>
        </w:rPr>
        <w:tab/>
      </w:r>
      <w:r w:rsidR="00CA6B15">
        <w:rPr>
          <w:szCs w:val="28"/>
        </w:rPr>
        <w:tab/>
      </w:r>
      <w:r>
        <w:rPr>
          <w:szCs w:val="28"/>
        </w:rPr>
        <w:tab/>
        <w:t>Володимир</w:t>
      </w:r>
      <w:r w:rsidR="00CA6B15">
        <w:rPr>
          <w:szCs w:val="28"/>
        </w:rPr>
        <w:t xml:space="preserve"> </w:t>
      </w:r>
      <w:r>
        <w:rPr>
          <w:szCs w:val="28"/>
        </w:rPr>
        <w:t>ЧЕРНОВ</w:t>
      </w:r>
    </w:p>
    <w:p w14:paraId="158E773E" w14:textId="08DF0810" w:rsidR="00244DBD" w:rsidRDefault="00244DBD">
      <w:pPr>
        <w:jc w:val="both"/>
        <w:rPr>
          <w:szCs w:val="28"/>
        </w:rPr>
      </w:pPr>
    </w:p>
    <w:p w14:paraId="6F45148B" w14:textId="48320451" w:rsidR="00244DBD" w:rsidRDefault="00244DBD">
      <w:pPr>
        <w:jc w:val="both"/>
        <w:rPr>
          <w:szCs w:val="28"/>
        </w:rPr>
      </w:pPr>
    </w:p>
    <w:p w14:paraId="7E0C5DBE" w14:textId="77777777" w:rsidR="00C91312" w:rsidRDefault="00C91312">
      <w:pPr>
        <w:jc w:val="both"/>
        <w:rPr>
          <w:szCs w:val="28"/>
        </w:rPr>
      </w:pPr>
    </w:p>
    <w:p w14:paraId="70F7FB18" w14:textId="34B598CD" w:rsidR="00237D5E" w:rsidRDefault="00237D5E">
      <w:pPr>
        <w:jc w:val="both"/>
        <w:rPr>
          <w:szCs w:val="28"/>
        </w:rPr>
        <w:sectPr w:rsidR="00237D5E">
          <w:pgSz w:w="11906" w:h="16838"/>
          <w:pgMar w:top="1134" w:right="567" w:bottom="1134" w:left="1701" w:header="709" w:footer="709" w:gutter="0"/>
          <w:cols w:space="708"/>
        </w:sectPr>
      </w:pPr>
    </w:p>
    <w:p w14:paraId="37EA53FC" w14:textId="7C4D1514" w:rsidR="005D1D9E" w:rsidRDefault="00AC6F8B" w:rsidP="005D1D9E">
      <w:pPr>
        <w:spacing w:line="259" w:lineRule="auto"/>
        <w:ind w:left="9640" w:firstLine="708"/>
        <w:rPr>
          <w:rFonts w:eastAsia="Calibri"/>
          <w:color w:val="auto"/>
          <w:sz w:val="22"/>
          <w:szCs w:val="22"/>
          <w:lang w:eastAsia="en-US"/>
        </w:rPr>
      </w:pPr>
      <w:r w:rsidRPr="00AC6F8B">
        <w:rPr>
          <w:rFonts w:eastAsia="Calibri"/>
          <w:color w:val="auto"/>
          <w:sz w:val="22"/>
          <w:szCs w:val="22"/>
          <w:lang w:eastAsia="en-US"/>
        </w:rPr>
        <w:lastRenderedPageBreak/>
        <w:t>Додаток 1</w:t>
      </w:r>
    </w:p>
    <w:p w14:paraId="250361F4" w14:textId="74DF5C71" w:rsidR="00AC6F8B" w:rsidRPr="00AC6F8B" w:rsidRDefault="00AC6F8B" w:rsidP="005D1D9E">
      <w:pPr>
        <w:spacing w:line="259" w:lineRule="auto"/>
        <w:ind w:left="9640" w:firstLine="708"/>
        <w:rPr>
          <w:rFonts w:eastAsia="Calibri"/>
          <w:color w:val="auto"/>
          <w:sz w:val="22"/>
          <w:szCs w:val="22"/>
          <w:lang w:eastAsia="en-US"/>
        </w:rPr>
      </w:pPr>
      <w:r w:rsidRPr="00AC6F8B">
        <w:rPr>
          <w:rFonts w:eastAsia="Calibri"/>
          <w:color w:val="auto"/>
          <w:sz w:val="22"/>
          <w:szCs w:val="22"/>
          <w:lang w:eastAsia="en-US"/>
        </w:rPr>
        <w:t xml:space="preserve">до Програми передачі нетелей багатодітним </w:t>
      </w:r>
    </w:p>
    <w:p w14:paraId="0DD1A084" w14:textId="77777777" w:rsidR="00AC6F8B" w:rsidRPr="00AC6F8B" w:rsidRDefault="00AC6F8B" w:rsidP="005D1D9E">
      <w:pPr>
        <w:ind w:left="9649" w:firstLine="699"/>
        <w:rPr>
          <w:rFonts w:eastAsia="Calibri"/>
          <w:color w:val="auto"/>
          <w:sz w:val="22"/>
          <w:szCs w:val="22"/>
          <w:lang w:eastAsia="en-US"/>
        </w:rPr>
      </w:pPr>
      <w:r w:rsidRPr="00AC6F8B">
        <w:rPr>
          <w:rFonts w:eastAsia="Calibri"/>
          <w:color w:val="auto"/>
          <w:sz w:val="22"/>
          <w:szCs w:val="22"/>
          <w:lang w:eastAsia="en-US"/>
        </w:rPr>
        <w:t>сім’ям, які проживають у сільській місцевості</w:t>
      </w:r>
    </w:p>
    <w:p w14:paraId="3E079762" w14:textId="1CF6D9B2" w:rsidR="00AC6F8B" w:rsidRDefault="00AC6F8B" w:rsidP="00AC6F8B">
      <w:pPr>
        <w:ind w:left="7789" w:firstLine="2559"/>
        <w:rPr>
          <w:rFonts w:eastAsia="Calibri"/>
          <w:color w:val="auto"/>
          <w:sz w:val="22"/>
          <w:szCs w:val="22"/>
          <w:lang w:eastAsia="en-US"/>
        </w:rPr>
      </w:pPr>
      <w:r w:rsidRPr="00AC6F8B">
        <w:rPr>
          <w:rFonts w:eastAsia="Calibri"/>
          <w:color w:val="auto"/>
          <w:sz w:val="22"/>
          <w:szCs w:val="22"/>
          <w:lang w:eastAsia="en-US"/>
        </w:rPr>
        <w:t>Прилуцького району на 2026-2027 роки</w:t>
      </w:r>
    </w:p>
    <w:p w14:paraId="450A3C09" w14:textId="1F49902A" w:rsidR="004E7F58" w:rsidRDefault="004E7F58" w:rsidP="004E7F58">
      <w:pPr>
        <w:ind w:left="10348"/>
        <w:rPr>
          <w:rFonts w:eastAsia="Calibri"/>
          <w:color w:val="auto"/>
          <w:sz w:val="22"/>
          <w:szCs w:val="22"/>
          <w:lang w:eastAsia="en-US"/>
        </w:rPr>
      </w:pPr>
      <w:r>
        <w:rPr>
          <w:rFonts w:eastAsia="Calibri"/>
          <w:color w:val="auto"/>
          <w:sz w:val="22"/>
          <w:szCs w:val="22"/>
          <w:lang w:eastAsia="en-US"/>
        </w:rPr>
        <w:t>(</w:t>
      </w:r>
      <w:r w:rsidR="00FA01B9">
        <w:rPr>
          <w:rFonts w:eastAsia="Calibri"/>
          <w:color w:val="auto"/>
          <w:sz w:val="22"/>
          <w:szCs w:val="22"/>
          <w:lang w:eastAsia="en-US"/>
        </w:rPr>
        <w:t>у</w:t>
      </w:r>
      <w:r>
        <w:rPr>
          <w:rFonts w:eastAsia="Calibri"/>
          <w:color w:val="auto"/>
          <w:sz w:val="22"/>
          <w:szCs w:val="22"/>
          <w:lang w:eastAsia="en-US"/>
        </w:rPr>
        <w:t xml:space="preserve"> редакції розпорядження начальника </w:t>
      </w:r>
      <w:r w:rsidR="00FA01B9">
        <w:rPr>
          <w:rFonts w:eastAsia="Calibri"/>
          <w:color w:val="auto"/>
          <w:sz w:val="22"/>
          <w:szCs w:val="22"/>
          <w:lang w:eastAsia="en-US"/>
        </w:rPr>
        <w:t xml:space="preserve">  </w:t>
      </w:r>
      <w:r>
        <w:rPr>
          <w:rFonts w:eastAsia="Calibri"/>
          <w:color w:val="auto"/>
          <w:sz w:val="22"/>
          <w:szCs w:val="22"/>
          <w:lang w:eastAsia="en-US"/>
        </w:rPr>
        <w:t xml:space="preserve">Прилуцької районної військової адміністрації </w:t>
      </w:r>
      <w:r w:rsidR="00FA01B9">
        <w:rPr>
          <w:rFonts w:eastAsia="Calibri"/>
          <w:color w:val="auto"/>
          <w:sz w:val="22"/>
          <w:szCs w:val="22"/>
          <w:lang w:eastAsia="en-US"/>
        </w:rPr>
        <w:t xml:space="preserve">                         </w:t>
      </w:r>
      <w:r>
        <w:rPr>
          <w:rFonts w:eastAsia="Calibri"/>
          <w:color w:val="auto"/>
          <w:sz w:val="22"/>
          <w:szCs w:val="22"/>
          <w:lang w:eastAsia="en-US"/>
        </w:rPr>
        <w:t>від 0</w:t>
      </w:r>
      <w:r w:rsidR="00244DBD">
        <w:rPr>
          <w:rFonts w:eastAsia="Calibri"/>
          <w:color w:val="auto"/>
          <w:sz w:val="22"/>
          <w:szCs w:val="22"/>
          <w:lang w:eastAsia="en-US"/>
        </w:rPr>
        <w:t>8</w:t>
      </w:r>
      <w:r>
        <w:rPr>
          <w:rFonts w:eastAsia="Calibri"/>
          <w:color w:val="auto"/>
          <w:sz w:val="22"/>
          <w:szCs w:val="22"/>
          <w:lang w:eastAsia="en-US"/>
        </w:rPr>
        <w:t xml:space="preserve"> червня 2026 року №</w:t>
      </w:r>
      <w:r w:rsidR="00A9773F">
        <w:rPr>
          <w:rFonts w:eastAsia="Calibri"/>
          <w:color w:val="auto"/>
          <w:sz w:val="22"/>
          <w:szCs w:val="22"/>
          <w:lang w:eastAsia="en-US"/>
        </w:rPr>
        <w:t> </w:t>
      </w:r>
      <w:r w:rsidR="00BB19E8">
        <w:rPr>
          <w:rFonts w:eastAsia="Calibri"/>
          <w:color w:val="auto"/>
          <w:sz w:val="22"/>
          <w:szCs w:val="22"/>
          <w:lang w:eastAsia="en-US"/>
        </w:rPr>
        <w:t>34</w:t>
      </w:r>
      <w:r>
        <w:rPr>
          <w:rFonts w:eastAsia="Calibri"/>
          <w:color w:val="auto"/>
          <w:sz w:val="22"/>
          <w:szCs w:val="22"/>
          <w:lang w:eastAsia="en-US"/>
        </w:rPr>
        <w:t>)</w:t>
      </w:r>
    </w:p>
    <w:p w14:paraId="31B09235" w14:textId="77777777" w:rsidR="000969BF" w:rsidRPr="00AC6F8B" w:rsidRDefault="000969BF" w:rsidP="004E7F58">
      <w:pPr>
        <w:ind w:left="10348"/>
        <w:rPr>
          <w:rFonts w:eastAsia="Calibri"/>
          <w:color w:val="auto"/>
          <w:sz w:val="22"/>
          <w:szCs w:val="22"/>
          <w:lang w:eastAsia="en-US"/>
        </w:rPr>
      </w:pPr>
    </w:p>
    <w:p w14:paraId="01C57626" w14:textId="77777777" w:rsidR="00AC6F8B" w:rsidRPr="00AC6F8B" w:rsidRDefault="00AC6F8B" w:rsidP="00AC6F8B">
      <w:pPr>
        <w:spacing w:after="160" w:line="259" w:lineRule="auto"/>
        <w:jc w:val="center"/>
        <w:rPr>
          <w:rFonts w:eastAsia="Calibri"/>
          <w:b/>
          <w:bCs/>
          <w:color w:val="auto"/>
          <w:sz w:val="22"/>
          <w:szCs w:val="22"/>
          <w:lang w:eastAsia="en-US"/>
        </w:rPr>
      </w:pPr>
      <w:r w:rsidRPr="00AC6F8B">
        <w:rPr>
          <w:rFonts w:eastAsia="Calibri"/>
          <w:b/>
          <w:bCs/>
          <w:color w:val="auto"/>
          <w:sz w:val="22"/>
          <w:szCs w:val="22"/>
          <w:lang w:eastAsia="en-US"/>
        </w:rPr>
        <w:t>Напрями діяльності та заходи Програми передачі нетелей багатодітним сім’ям, які проживають у сільській місцевості                                                 Прилуцького району на 2026-2027 роки</w:t>
      </w:r>
    </w:p>
    <w:tbl>
      <w:tblPr>
        <w:tblStyle w:val="14"/>
        <w:tblW w:w="15446" w:type="dxa"/>
        <w:tblLayout w:type="fixed"/>
        <w:tblLook w:val="04A0" w:firstRow="1" w:lastRow="0" w:firstColumn="1" w:lastColumn="0" w:noHBand="0" w:noVBand="1"/>
      </w:tblPr>
      <w:tblGrid>
        <w:gridCol w:w="1539"/>
        <w:gridCol w:w="1575"/>
        <w:gridCol w:w="1417"/>
        <w:gridCol w:w="1843"/>
        <w:gridCol w:w="1276"/>
        <w:gridCol w:w="850"/>
        <w:gridCol w:w="709"/>
        <w:gridCol w:w="709"/>
        <w:gridCol w:w="709"/>
        <w:gridCol w:w="708"/>
        <w:gridCol w:w="710"/>
        <w:gridCol w:w="708"/>
        <w:gridCol w:w="2693"/>
      </w:tblGrid>
      <w:tr w:rsidR="00AC6F8B" w:rsidRPr="00AC6F8B" w14:paraId="77085C88" w14:textId="77777777" w:rsidTr="00423E81">
        <w:trPr>
          <w:trHeight w:val="1005"/>
        </w:trPr>
        <w:tc>
          <w:tcPr>
            <w:tcW w:w="1539" w:type="dxa"/>
            <w:vMerge w:val="restart"/>
          </w:tcPr>
          <w:p w14:paraId="0F5249CD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Напрям діяльності</w:t>
            </w:r>
          </w:p>
        </w:tc>
        <w:tc>
          <w:tcPr>
            <w:tcW w:w="1575" w:type="dxa"/>
            <w:vMerge w:val="restart"/>
          </w:tcPr>
          <w:p w14:paraId="62E60794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Перелік заходів Програми</w:t>
            </w:r>
          </w:p>
        </w:tc>
        <w:tc>
          <w:tcPr>
            <w:tcW w:w="1417" w:type="dxa"/>
            <w:vMerge w:val="restart"/>
          </w:tcPr>
          <w:p w14:paraId="2DBD9BE6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Строки виконання</w:t>
            </w:r>
          </w:p>
        </w:tc>
        <w:tc>
          <w:tcPr>
            <w:tcW w:w="1843" w:type="dxa"/>
            <w:vMerge w:val="restart"/>
          </w:tcPr>
          <w:p w14:paraId="5E1285F1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Виконавці</w:t>
            </w:r>
          </w:p>
        </w:tc>
        <w:tc>
          <w:tcPr>
            <w:tcW w:w="1276" w:type="dxa"/>
            <w:vMerge w:val="restart"/>
          </w:tcPr>
          <w:p w14:paraId="07A96205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Джерела фінансування</w:t>
            </w:r>
          </w:p>
        </w:tc>
        <w:tc>
          <w:tcPr>
            <w:tcW w:w="5103" w:type="dxa"/>
            <w:gridSpan w:val="7"/>
          </w:tcPr>
          <w:p w14:paraId="082209C6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Обсяги фінансування (тис. грн.)</w:t>
            </w:r>
          </w:p>
          <w:p w14:paraId="1CDDAE00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 w:val="restart"/>
          </w:tcPr>
          <w:p w14:paraId="7F68EAE5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Очікуваний результат</w:t>
            </w:r>
          </w:p>
        </w:tc>
      </w:tr>
      <w:tr w:rsidR="00AC6F8B" w:rsidRPr="00AC6F8B" w14:paraId="74F0B06A" w14:textId="77777777" w:rsidTr="00423E81">
        <w:trPr>
          <w:trHeight w:val="600"/>
        </w:trPr>
        <w:tc>
          <w:tcPr>
            <w:tcW w:w="1539" w:type="dxa"/>
            <w:vMerge/>
          </w:tcPr>
          <w:p w14:paraId="16D2CBAA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</w:tcPr>
          <w:p w14:paraId="2FDBEEC8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23644713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59076444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0B9E5FAB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5C8EA3A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709" w:type="dxa"/>
          </w:tcPr>
          <w:p w14:paraId="17CE9B60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709" w:type="dxa"/>
          </w:tcPr>
          <w:p w14:paraId="6C2B5F5B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709" w:type="dxa"/>
          </w:tcPr>
          <w:p w14:paraId="56F609B6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708" w:type="dxa"/>
          </w:tcPr>
          <w:p w14:paraId="37DF7B6F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710" w:type="dxa"/>
          </w:tcPr>
          <w:p w14:paraId="138F35E2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708" w:type="dxa"/>
          </w:tcPr>
          <w:p w14:paraId="7812C96F" w14:textId="77777777" w:rsidR="00AC6F8B" w:rsidRPr="00AC6F8B" w:rsidRDefault="00AC6F8B" w:rsidP="00AC6F8B">
            <w:pPr>
              <w:ind w:left="-4061" w:right="-108" w:firstLine="406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693" w:type="dxa"/>
            <w:vMerge/>
          </w:tcPr>
          <w:p w14:paraId="03C69938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AC6F8B" w:rsidRPr="00AC6F8B" w14:paraId="140D541F" w14:textId="77777777" w:rsidTr="00423E81">
        <w:tc>
          <w:tcPr>
            <w:tcW w:w="1539" w:type="dxa"/>
            <w:vMerge w:val="restart"/>
          </w:tcPr>
          <w:p w14:paraId="50ACBFC1" w14:textId="77777777" w:rsidR="00AC6F8B" w:rsidRPr="00AC6F8B" w:rsidRDefault="00AC6F8B" w:rsidP="00AC6F8B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0E4522A9" w14:textId="77777777" w:rsidR="00AC6F8B" w:rsidRPr="00AC6F8B" w:rsidRDefault="00AC6F8B" w:rsidP="00AC6F8B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0D4F752E" w14:textId="77777777" w:rsidR="00AC6F8B" w:rsidRPr="00AC6F8B" w:rsidRDefault="00AC6F8B" w:rsidP="00AC6F8B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3C4F19A3" w14:textId="77777777" w:rsidR="00AC6F8B" w:rsidRPr="00AC6F8B" w:rsidRDefault="00AC6F8B" w:rsidP="00AC6F8B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41975755" w14:textId="77777777" w:rsidR="00AC6F8B" w:rsidRPr="00AC6F8B" w:rsidRDefault="00AC6F8B" w:rsidP="00AC6F8B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color w:val="auto"/>
                <w:sz w:val="22"/>
                <w:szCs w:val="22"/>
                <w:lang w:eastAsia="en-US"/>
              </w:rPr>
              <w:t>Підтримка сільських багатодітних сімей в яких виховується 5 і більше дітей</w:t>
            </w:r>
          </w:p>
        </w:tc>
        <w:tc>
          <w:tcPr>
            <w:tcW w:w="1575" w:type="dxa"/>
          </w:tcPr>
          <w:p w14:paraId="65FE3EE7" w14:textId="77777777" w:rsidR="00AC6F8B" w:rsidRPr="00AC6F8B" w:rsidRDefault="00AC6F8B" w:rsidP="00AC6F8B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color w:val="auto"/>
                <w:sz w:val="22"/>
                <w:szCs w:val="22"/>
                <w:lang w:eastAsia="en-US"/>
              </w:rPr>
              <w:t>Закупівля нетелей та передача їх сільським багатодітним сім’ям</w:t>
            </w:r>
          </w:p>
        </w:tc>
        <w:tc>
          <w:tcPr>
            <w:tcW w:w="1417" w:type="dxa"/>
          </w:tcPr>
          <w:p w14:paraId="65C01AC1" w14:textId="77777777" w:rsidR="00AC6F8B" w:rsidRPr="00AC6F8B" w:rsidRDefault="00AC6F8B" w:rsidP="00AC6F8B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color w:val="auto"/>
                <w:sz w:val="22"/>
                <w:szCs w:val="22"/>
                <w:lang w:eastAsia="en-US"/>
              </w:rPr>
              <w:t>2026-2027 роки</w:t>
            </w:r>
          </w:p>
        </w:tc>
        <w:tc>
          <w:tcPr>
            <w:tcW w:w="1843" w:type="dxa"/>
          </w:tcPr>
          <w:p w14:paraId="15CF3B1A" w14:textId="77777777" w:rsidR="00AC6F8B" w:rsidRPr="00AC6F8B" w:rsidRDefault="00AC6F8B" w:rsidP="00AC6F8B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color w:val="auto"/>
                <w:sz w:val="22"/>
                <w:szCs w:val="22"/>
                <w:lang w:eastAsia="en-US"/>
              </w:rPr>
              <w:t>Відділ економічного та агропромислового розвитку, транспорту та зв’язку районної державної адміністрації</w:t>
            </w:r>
          </w:p>
        </w:tc>
        <w:tc>
          <w:tcPr>
            <w:tcW w:w="1276" w:type="dxa"/>
          </w:tcPr>
          <w:p w14:paraId="4A1B17E1" w14:textId="77777777" w:rsidR="00AC6F8B" w:rsidRPr="00AC6F8B" w:rsidRDefault="00AC6F8B" w:rsidP="00AC6F8B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color w:val="auto"/>
                <w:sz w:val="22"/>
                <w:szCs w:val="22"/>
                <w:lang w:eastAsia="en-US"/>
              </w:rPr>
              <w:t>Надання субвенції з обласного бюджету районному бюджету</w:t>
            </w:r>
          </w:p>
        </w:tc>
        <w:tc>
          <w:tcPr>
            <w:tcW w:w="850" w:type="dxa"/>
          </w:tcPr>
          <w:p w14:paraId="0C6FFEDD" w14:textId="77777777" w:rsidR="00AC6F8B" w:rsidRPr="00AC6F8B" w:rsidRDefault="00AC6F8B" w:rsidP="00AC6F8B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color w:val="auto"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709" w:type="dxa"/>
          </w:tcPr>
          <w:p w14:paraId="3F911BE2" w14:textId="77777777" w:rsidR="00AC6F8B" w:rsidRPr="00AC6F8B" w:rsidRDefault="00AC6F8B" w:rsidP="00AC6F8B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color w:val="auto"/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709" w:type="dxa"/>
          </w:tcPr>
          <w:p w14:paraId="3CE77E66" w14:textId="77777777" w:rsidR="00AC6F8B" w:rsidRPr="00AC6F8B" w:rsidRDefault="00AC6F8B" w:rsidP="00AC6F8B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color w:val="auto"/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709" w:type="dxa"/>
          </w:tcPr>
          <w:p w14:paraId="17E8EBF8" w14:textId="77777777" w:rsidR="00AC6F8B" w:rsidRPr="00AC6F8B" w:rsidRDefault="00AC6F8B" w:rsidP="00AC6F8B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color w:val="auto"/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708" w:type="dxa"/>
          </w:tcPr>
          <w:p w14:paraId="5DB1458F" w14:textId="77777777" w:rsidR="00AC6F8B" w:rsidRPr="00AC6F8B" w:rsidRDefault="00AC6F8B" w:rsidP="00AC6F8B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color w:val="auto"/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710" w:type="dxa"/>
          </w:tcPr>
          <w:p w14:paraId="74C66F30" w14:textId="77777777" w:rsidR="00AC6F8B" w:rsidRPr="00AC6F8B" w:rsidRDefault="00AC6F8B" w:rsidP="00AC6F8B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color w:val="auto"/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708" w:type="dxa"/>
          </w:tcPr>
          <w:p w14:paraId="7BA48862" w14:textId="77777777" w:rsidR="00AC6F8B" w:rsidRPr="00AC6F8B" w:rsidRDefault="00AC6F8B" w:rsidP="00AC6F8B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color w:val="auto"/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2693" w:type="dxa"/>
          </w:tcPr>
          <w:p w14:paraId="721112DB" w14:textId="77777777" w:rsidR="00AC6F8B" w:rsidRPr="00AC6F8B" w:rsidRDefault="00AC6F8B" w:rsidP="00AC6F8B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color w:val="auto"/>
                <w:sz w:val="22"/>
                <w:szCs w:val="22"/>
                <w:lang w:eastAsia="en-US"/>
              </w:rPr>
              <w:t>24 сільські багатодітні сім’ї отримають нетелей</w:t>
            </w:r>
          </w:p>
        </w:tc>
      </w:tr>
      <w:tr w:rsidR="00AC6F8B" w:rsidRPr="00AC6F8B" w14:paraId="60DA33DF" w14:textId="77777777" w:rsidTr="00423E81">
        <w:trPr>
          <w:trHeight w:val="1894"/>
        </w:trPr>
        <w:tc>
          <w:tcPr>
            <w:tcW w:w="1539" w:type="dxa"/>
            <w:vMerge/>
          </w:tcPr>
          <w:p w14:paraId="5E60E6C7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</w:tcPr>
          <w:p w14:paraId="46823F01" w14:textId="77777777" w:rsidR="00AC6F8B" w:rsidRPr="00AC6F8B" w:rsidRDefault="00AC6F8B" w:rsidP="00AC6F8B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color w:val="auto"/>
                <w:sz w:val="22"/>
                <w:szCs w:val="22"/>
                <w:lang w:eastAsia="en-US"/>
              </w:rPr>
              <w:t>Сприяння поліпшенню життя і благополуччя сільських багатодітних сімей</w:t>
            </w:r>
          </w:p>
        </w:tc>
        <w:tc>
          <w:tcPr>
            <w:tcW w:w="1417" w:type="dxa"/>
          </w:tcPr>
          <w:p w14:paraId="0DB7D39F" w14:textId="77777777" w:rsidR="00AC6F8B" w:rsidRPr="00AC6F8B" w:rsidRDefault="00AC6F8B" w:rsidP="00AC6F8B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color w:val="auto"/>
                <w:sz w:val="22"/>
                <w:szCs w:val="22"/>
                <w:lang w:eastAsia="en-US"/>
              </w:rPr>
              <w:t>2026-2027 роки</w:t>
            </w:r>
          </w:p>
        </w:tc>
        <w:tc>
          <w:tcPr>
            <w:tcW w:w="1843" w:type="dxa"/>
          </w:tcPr>
          <w:p w14:paraId="603E2E76" w14:textId="77777777" w:rsidR="00AC6F8B" w:rsidRPr="00AC6F8B" w:rsidRDefault="00AC6F8B" w:rsidP="00AC6F8B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color w:val="auto"/>
                <w:sz w:val="22"/>
                <w:szCs w:val="22"/>
                <w:lang w:eastAsia="en-US"/>
              </w:rPr>
              <w:t>Відділ економічного та агропромислового розвитку, транспорту та зв’язку районної державної адміністрації</w:t>
            </w:r>
          </w:p>
        </w:tc>
        <w:tc>
          <w:tcPr>
            <w:tcW w:w="1276" w:type="dxa"/>
          </w:tcPr>
          <w:p w14:paraId="4C894B72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A202171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4DAFBB66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69B51F9A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648A5832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2A665CAB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</w:tcPr>
          <w:p w14:paraId="33FDD22E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2B75022F" w14:textId="77777777" w:rsidR="00AC6F8B" w:rsidRPr="00AC6F8B" w:rsidRDefault="00AC6F8B" w:rsidP="00AC6F8B">
            <w:pPr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42E185E3" w14:textId="77777777" w:rsidR="00AC6F8B" w:rsidRPr="00AC6F8B" w:rsidRDefault="00AC6F8B" w:rsidP="00AC6F8B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C6F8B">
              <w:rPr>
                <w:rFonts w:eastAsia="Calibri"/>
                <w:color w:val="auto"/>
                <w:sz w:val="22"/>
                <w:szCs w:val="22"/>
                <w:lang w:eastAsia="en-US"/>
              </w:rPr>
              <w:t>Підвищення власних доходів сільських багатодітних сімей завдяки отриманню молока від високопродуктивних тварин</w:t>
            </w:r>
          </w:p>
        </w:tc>
      </w:tr>
    </w:tbl>
    <w:p w14:paraId="2E04ED1F" w14:textId="77777777" w:rsidR="00AC6F8B" w:rsidRPr="00AC6F8B" w:rsidRDefault="00AC6F8B" w:rsidP="00AC6F8B">
      <w:pPr>
        <w:spacing w:line="259" w:lineRule="auto"/>
        <w:rPr>
          <w:rFonts w:eastAsia="Calibri"/>
          <w:b/>
          <w:bCs/>
          <w:color w:val="auto"/>
          <w:sz w:val="22"/>
          <w:szCs w:val="22"/>
          <w:lang w:eastAsia="en-US"/>
        </w:rPr>
      </w:pPr>
    </w:p>
    <w:p w14:paraId="6D0C8057" w14:textId="0E098273" w:rsidR="00AC6F8B" w:rsidRDefault="00AC6F8B">
      <w:pPr>
        <w:jc w:val="both"/>
        <w:rPr>
          <w:szCs w:val="28"/>
        </w:rPr>
      </w:pPr>
    </w:p>
    <w:p w14:paraId="1DDE347F" w14:textId="1373302D" w:rsidR="00AC6F8B" w:rsidRPr="00AC6F8B" w:rsidRDefault="00AC6F8B">
      <w:pPr>
        <w:jc w:val="both"/>
        <w:rPr>
          <w:sz w:val="22"/>
          <w:szCs w:val="22"/>
        </w:rPr>
      </w:pPr>
      <w:r w:rsidRPr="00AC6F8B">
        <w:rPr>
          <w:sz w:val="22"/>
          <w:szCs w:val="22"/>
        </w:rPr>
        <w:t>Начальник відділу економічного та агропромислового розвитку</w:t>
      </w:r>
    </w:p>
    <w:p w14:paraId="450BED10" w14:textId="3CD8C0CC" w:rsidR="00AC6F8B" w:rsidRPr="00AC6F8B" w:rsidRDefault="00AC6F8B">
      <w:pPr>
        <w:jc w:val="both"/>
        <w:rPr>
          <w:sz w:val="22"/>
          <w:szCs w:val="22"/>
        </w:rPr>
      </w:pPr>
      <w:r w:rsidRPr="00AC6F8B">
        <w:rPr>
          <w:sz w:val="22"/>
          <w:szCs w:val="22"/>
        </w:rPr>
        <w:t>транспорту та зв’язку Прилуцької районної державної адміністрації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1D9E">
        <w:rPr>
          <w:sz w:val="22"/>
          <w:szCs w:val="22"/>
        </w:rPr>
        <w:t xml:space="preserve">           </w:t>
      </w:r>
      <w:r>
        <w:rPr>
          <w:sz w:val="22"/>
          <w:szCs w:val="22"/>
        </w:rPr>
        <w:t>Вікторія ВОРЧАК</w:t>
      </w:r>
    </w:p>
    <w:sectPr w:rsidR="00AC6F8B" w:rsidRPr="00AC6F8B" w:rsidSect="000969BF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06A2D" w14:textId="77777777" w:rsidR="003C542D" w:rsidRDefault="003C542D">
      <w:r>
        <w:separator/>
      </w:r>
    </w:p>
  </w:endnote>
  <w:endnote w:type="continuationSeparator" w:id="0">
    <w:p w14:paraId="77A9BDA4" w14:textId="77777777" w:rsidR="003C542D" w:rsidRDefault="003C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D21BA" w14:textId="77777777" w:rsidR="003C542D" w:rsidRDefault="003C542D">
      <w:r>
        <w:separator/>
      </w:r>
    </w:p>
  </w:footnote>
  <w:footnote w:type="continuationSeparator" w:id="0">
    <w:p w14:paraId="5B3CC37F" w14:textId="77777777" w:rsidR="003C542D" w:rsidRDefault="003C5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5642"/>
    <w:multiLevelType w:val="multilevel"/>
    <w:tmpl w:val="D772C9CA"/>
    <w:lvl w:ilvl="0">
      <w:start w:val="1"/>
      <w:numFmt w:val="decimal"/>
      <w:lvlText w:val="%1."/>
      <w:lvlJc w:val="left"/>
      <w:pPr>
        <w:ind w:left="12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5" w:hanging="360"/>
      </w:pPr>
    </w:lvl>
    <w:lvl w:ilvl="2">
      <w:start w:val="1"/>
      <w:numFmt w:val="lowerRoman"/>
      <w:lvlText w:val="%3."/>
      <w:lvlJc w:val="right"/>
      <w:pPr>
        <w:ind w:left="2705" w:hanging="180"/>
      </w:pPr>
    </w:lvl>
    <w:lvl w:ilvl="3">
      <w:start w:val="1"/>
      <w:numFmt w:val="decimal"/>
      <w:lvlText w:val="%4."/>
      <w:lvlJc w:val="left"/>
      <w:pPr>
        <w:ind w:left="3425" w:hanging="360"/>
      </w:pPr>
    </w:lvl>
    <w:lvl w:ilvl="4">
      <w:start w:val="1"/>
      <w:numFmt w:val="lowerLetter"/>
      <w:lvlText w:val="%5."/>
      <w:lvlJc w:val="left"/>
      <w:pPr>
        <w:ind w:left="4145" w:hanging="360"/>
      </w:pPr>
    </w:lvl>
    <w:lvl w:ilvl="5">
      <w:start w:val="1"/>
      <w:numFmt w:val="lowerRoman"/>
      <w:lvlText w:val="%6."/>
      <w:lvlJc w:val="right"/>
      <w:pPr>
        <w:ind w:left="4865" w:hanging="180"/>
      </w:pPr>
    </w:lvl>
    <w:lvl w:ilvl="6">
      <w:start w:val="1"/>
      <w:numFmt w:val="decimal"/>
      <w:lvlText w:val="%7."/>
      <w:lvlJc w:val="left"/>
      <w:pPr>
        <w:ind w:left="5585" w:hanging="360"/>
      </w:pPr>
    </w:lvl>
    <w:lvl w:ilvl="7">
      <w:start w:val="1"/>
      <w:numFmt w:val="lowerLetter"/>
      <w:lvlText w:val="%8."/>
      <w:lvlJc w:val="left"/>
      <w:pPr>
        <w:ind w:left="6305" w:hanging="360"/>
      </w:pPr>
    </w:lvl>
    <w:lvl w:ilvl="8">
      <w:start w:val="1"/>
      <w:numFmt w:val="lowerRoman"/>
      <w:lvlText w:val="%9."/>
      <w:lvlJc w:val="right"/>
      <w:pPr>
        <w:ind w:left="7025" w:hanging="180"/>
      </w:pPr>
    </w:lvl>
  </w:abstractNum>
  <w:abstractNum w:abstractNumId="1" w15:restartNumberingAfterBreak="0">
    <w:nsid w:val="2B994229"/>
    <w:multiLevelType w:val="hybridMultilevel"/>
    <w:tmpl w:val="DF32218E"/>
    <w:lvl w:ilvl="0" w:tplc="8A10FF30">
      <w:start w:val="1"/>
      <w:numFmt w:val="decimal"/>
      <w:lvlText w:val="%1."/>
      <w:lvlJc w:val="left"/>
      <w:pPr>
        <w:ind w:left="1002" w:hanging="435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1C23A2"/>
    <w:multiLevelType w:val="multilevel"/>
    <w:tmpl w:val="748A427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87"/>
    <w:rsid w:val="00060421"/>
    <w:rsid w:val="000878C7"/>
    <w:rsid w:val="000969BF"/>
    <w:rsid w:val="000B0604"/>
    <w:rsid w:val="000B4C15"/>
    <w:rsid w:val="000E4EB4"/>
    <w:rsid w:val="000F09EF"/>
    <w:rsid w:val="000F27DA"/>
    <w:rsid w:val="00124905"/>
    <w:rsid w:val="001435F8"/>
    <w:rsid w:val="00174349"/>
    <w:rsid w:val="001A5A86"/>
    <w:rsid w:val="00237D5E"/>
    <w:rsid w:val="00244DBD"/>
    <w:rsid w:val="002460C6"/>
    <w:rsid w:val="002D0355"/>
    <w:rsid w:val="002E0538"/>
    <w:rsid w:val="002F7203"/>
    <w:rsid w:val="0033325A"/>
    <w:rsid w:val="00344AAB"/>
    <w:rsid w:val="00367F40"/>
    <w:rsid w:val="0037763D"/>
    <w:rsid w:val="003C542D"/>
    <w:rsid w:val="00417A2E"/>
    <w:rsid w:val="00423E81"/>
    <w:rsid w:val="004A1D81"/>
    <w:rsid w:val="004A3949"/>
    <w:rsid w:val="004C214F"/>
    <w:rsid w:val="004C5567"/>
    <w:rsid w:val="004E7F58"/>
    <w:rsid w:val="004F0E81"/>
    <w:rsid w:val="005152E4"/>
    <w:rsid w:val="00524038"/>
    <w:rsid w:val="00567F0A"/>
    <w:rsid w:val="005D1D9E"/>
    <w:rsid w:val="005D3023"/>
    <w:rsid w:val="00603272"/>
    <w:rsid w:val="00691536"/>
    <w:rsid w:val="006D3267"/>
    <w:rsid w:val="0071470B"/>
    <w:rsid w:val="00737990"/>
    <w:rsid w:val="007521F6"/>
    <w:rsid w:val="0077749C"/>
    <w:rsid w:val="0078687B"/>
    <w:rsid w:val="007A6EF4"/>
    <w:rsid w:val="007B73A6"/>
    <w:rsid w:val="007D0906"/>
    <w:rsid w:val="008212B1"/>
    <w:rsid w:val="00850D9C"/>
    <w:rsid w:val="0087262C"/>
    <w:rsid w:val="00873F1A"/>
    <w:rsid w:val="008A19C4"/>
    <w:rsid w:val="008D4887"/>
    <w:rsid w:val="009044DA"/>
    <w:rsid w:val="009451A3"/>
    <w:rsid w:val="009567D6"/>
    <w:rsid w:val="00994E5A"/>
    <w:rsid w:val="00997DE9"/>
    <w:rsid w:val="00A16DEA"/>
    <w:rsid w:val="00A36BAC"/>
    <w:rsid w:val="00A804BC"/>
    <w:rsid w:val="00A9773F"/>
    <w:rsid w:val="00AA2196"/>
    <w:rsid w:val="00AC6F8B"/>
    <w:rsid w:val="00AD4851"/>
    <w:rsid w:val="00AE3809"/>
    <w:rsid w:val="00B26420"/>
    <w:rsid w:val="00B54E69"/>
    <w:rsid w:val="00B811AF"/>
    <w:rsid w:val="00BB19E8"/>
    <w:rsid w:val="00BB6E28"/>
    <w:rsid w:val="00C05C66"/>
    <w:rsid w:val="00C91312"/>
    <w:rsid w:val="00CA6B15"/>
    <w:rsid w:val="00D02855"/>
    <w:rsid w:val="00D13490"/>
    <w:rsid w:val="00D352EA"/>
    <w:rsid w:val="00D5079A"/>
    <w:rsid w:val="00DA536D"/>
    <w:rsid w:val="00DB2881"/>
    <w:rsid w:val="00E63127"/>
    <w:rsid w:val="00EA1CBE"/>
    <w:rsid w:val="00EB0189"/>
    <w:rsid w:val="00F13783"/>
    <w:rsid w:val="00F13E99"/>
    <w:rsid w:val="00F6049E"/>
    <w:rsid w:val="00FA01B9"/>
    <w:rsid w:val="00FB3F8B"/>
    <w:rsid w:val="00FB584B"/>
    <w:rsid w:val="00FB67DB"/>
    <w:rsid w:val="00F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F8B7"/>
  <w15:docId w15:val="{271F1807-CA7E-44F8-B3E4-EBA539F7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color w:val="auto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Цитата Знак"/>
    <w:basedOn w:val="a0"/>
    <w:link w:val="a6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Насичена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і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і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ви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</w:rPr>
  </w:style>
  <w:style w:type="character" w:customStyle="1" w:styleId="afb">
    <w:name w:val="Текст кінцевої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bCs/>
      <w:sz w:val="32"/>
      <w:szCs w:val="32"/>
      <w:lang w:val="en-US" w:eastAsia="ru-RU"/>
    </w:rPr>
  </w:style>
  <w:style w:type="paragraph" w:styleId="aff1">
    <w:name w:val="Normal (Web)"/>
    <w:basedOn w:val="a"/>
    <w:semiHidden/>
    <w:unhideWhenUsed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ff2">
    <w:name w:val="Subtitle"/>
    <w:basedOn w:val="a"/>
    <w:link w:val="aff3"/>
    <w:qFormat/>
    <w:pPr>
      <w:spacing w:line="360" w:lineRule="auto"/>
      <w:jc w:val="center"/>
    </w:pPr>
    <w:rPr>
      <w:b/>
      <w:color w:val="auto"/>
      <w:szCs w:val="24"/>
    </w:rPr>
  </w:style>
  <w:style w:type="character" w:customStyle="1" w:styleId="aff3">
    <w:name w:val="Підзаголовок Знак"/>
    <w:basedOn w:val="a0"/>
    <w:link w:val="aff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3">
    <w:name w:val="Знак Знак Знак Знак1 Знак Знак Знак"/>
    <w:basedOn w:val="a"/>
    <w:rPr>
      <w:rFonts w:ascii="Verdana" w:hAnsi="Verdana" w:cs="Verdana"/>
      <w:color w:val="auto"/>
      <w:sz w:val="20"/>
      <w:lang w:val="en-US" w:eastAsia="en-US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f5">
    <w:name w:val="Balloon Text"/>
    <w:basedOn w:val="a"/>
    <w:link w:val="aff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6">
    <w:name w:val="Текст у виносці Знак"/>
    <w:basedOn w:val="a0"/>
    <w:link w:val="aff5"/>
    <w:uiPriority w:val="99"/>
    <w:semiHidden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aff7">
    <w:name w:val="Знак Знак Знак"/>
    <w:basedOn w:val="a"/>
    <w:rPr>
      <w:rFonts w:ascii="Verdana" w:hAnsi="Verdana" w:cs="Verdana"/>
      <w:color w:val="auto"/>
      <w:sz w:val="20"/>
      <w:lang w:val="en-US" w:eastAsia="en-US"/>
    </w:rPr>
  </w:style>
  <w:style w:type="table" w:customStyle="1" w:styleId="14">
    <w:name w:val="Сітка таблиці1"/>
    <w:basedOn w:val="a1"/>
    <w:next w:val="a3"/>
    <w:uiPriority w:val="39"/>
    <w:rsid w:val="00AC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6BA69-2F10-44E9-B511-D663F0C9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1917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K2Zag</dc:creator>
  <cp:keywords/>
  <dc:description/>
  <cp:lastModifiedBy>Користувач</cp:lastModifiedBy>
  <cp:revision>84</cp:revision>
  <dcterms:created xsi:type="dcterms:W3CDTF">2021-04-23T12:44:00Z</dcterms:created>
  <dcterms:modified xsi:type="dcterms:W3CDTF">2026-06-19T11:14:00Z</dcterms:modified>
</cp:coreProperties>
</file>